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9947E">
      <w:pPr>
        <w:numPr>
          <w:ilvl w:val="0"/>
          <w:numId w:val="0"/>
        </w:numPr>
        <w:jc w:val="center"/>
        <w:rPr>
          <w:rFonts w:hint="eastAsia"/>
          <w:b/>
          <w:bCs/>
          <w:sz w:val="32"/>
          <w:szCs w:val="32"/>
          <w:lang w:val="en-US" w:eastAsia="zh-CN"/>
        </w:rPr>
      </w:pPr>
      <w:r>
        <w:rPr>
          <w:rFonts w:hint="eastAsia"/>
          <w:b/>
          <w:bCs/>
          <w:sz w:val="32"/>
          <w:szCs w:val="32"/>
          <w:lang w:val="en-US" w:eastAsia="zh-CN"/>
        </w:rPr>
        <w:t>小型业务用车维修保养项目需求</w:t>
      </w:r>
    </w:p>
    <w:p w14:paraId="473A0206">
      <w:pPr>
        <w:numPr>
          <w:ilvl w:val="0"/>
          <w:numId w:val="1"/>
        </w:numPr>
        <w:rPr>
          <w:rFonts w:hint="eastAsia"/>
          <w:sz w:val="28"/>
          <w:szCs w:val="28"/>
          <w:lang w:val="en-US" w:eastAsia="zh-CN"/>
        </w:rPr>
      </w:pPr>
      <w:r>
        <w:rPr>
          <w:rFonts w:hint="eastAsia"/>
          <w:sz w:val="28"/>
          <w:szCs w:val="28"/>
          <w:lang w:val="en-US" w:eastAsia="zh-CN"/>
        </w:rPr>
        <w:t>项目名称：小型业务用车维修保养</w:t>
      </w:r>
    </w:p>
    <w:p w14:paraId="101CFB2D">
      <w:pPr>
        <w:numPr>
          <w:ilvl w:val="0"/>
          <w:numId w:val="1"/>
        </w:numPr>
        <w:rPr>
          <w:rFonts w:hint="default"/>
          <w:sz w:val="28"/>
          <w:szCs w:val="28"/>
          <w:lang w:val="en-US" w:eastAsia="zh-CN"/>
        </w:rPr>
      </w:pPr>
      <w:r>
        <w:rPr>
          <w:rFonts w:hint="eastAsia"/>
          <w:sz w:val="28"/>
          <w:szCs w:val="28"/>
          <w:lang w:val="en-US" w:eastAsia="zh-CN"/>
        </w:rPr>
        <w:t>开展招标采购活动的完成时间</w:t>
      </w:r>
    </w:p>
    <w:p w14:paraId="00FB41D8">
      <w:pPr>
        <w:pStyle w:val="2"/>
        <w:rPr>
          <w:rFonts w:hint="default"/>
          <w:lang w:val="en-US" w:eastAsia="zh-CN"/>
        </w:rPr>
      </w:pPr>
      <w:r>
        <w:rPr>
          <w:rFonts w:hint="eastAsia"/>
          <w:sz w:val="28"/>
          <w:szCs w:val="28"/>
          <w:lang w:val="en-US" w:eastAsia="zh-CN"/>
        </w:rPr>
        <w:t>2025年</w:t>
      </w:r>
    </w:p>
    <w:p w14:paraId="4825BB8A">
      <w:pPr>
        <w:numPr>
          <w:ilvl w:val="0"/>
          <w:numId w:val="1"/>
        </w:numPr>
        <w:rPr>
          <w:rFonts w:hint="default"/>
          <w:sz w:val="28"/>
          <w:szCs w:val="28"/>
          <w:lang w:val="en-US" w:eastAsia="zh-CN"/>
        </w:rPr>
      </w:pPr>
      <w:r>
        <w:rPr>
          <w:rFonts w:hint="eastAsia"/>
          <w:sz w:val="28"/>
          <w:szCs w:val="28"/>
          <w:lang w:val="en-US" w:eastAsia="zh-CN"/>
        </w:rPr>
        <w:t>项目预算最高限价：170000元</w:t>
      </w:r>
    </w:p>
    <w:p w14:paraId="12D8AAB7">
      <w:pPr>
        <w:numPr>
          <w:ilvl w:val="0"/>
          <w:numId w:val="1"/>
        </w:numPr>
        <w:rPr>
          <w:rFonts w:hint="default"/>
          <w:sz w:val="28"/>
          <w:szCs w:val="28"/>
          <w:lang w:val="en-US" w:eastAsia="zh-CN"/>
        </w:rPr>
      </w:pPr>
      <w:r>
        <w:rPr>
          <w:rFonts w:hint="eastAsia"/>
          <w:sz w:val="28"/>
          <w:szCs w:val="28"/>
          <w:lang w:val="en-US" w:eastAsia="zh-CN"/>
        </w:rPr>
        <w:t>采购需求：</w:t>
      </w:r>
    </w:p>
    <w:tbl>
      <w:tblPr>
        <w:tblStyle w:val="5"/>
        <w:tblW w:w="9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2"/>
        <w:gridCol w:w="2670"/>
        <w:gridCol w:w="1350"/>
        <w:gridCol w:w="900"/>
        <w:gridCol w:w="1386"/>
      </w:tblGrid>
      <w:tr w14:paraId="361AF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152" w:type="dxa"/>
          </w:tcPr>
          <w:p w14:paraId="355CAB13">
            <w:pPr>
              <w:numPr>
                <w:ilvl w:val="0"/>
                <w:numId w:val="0"/>
              </w:numPr>
              <w:rPr>
                <w:rFonts w:hint="default"/>
                <w:sz w:val="28"/>
                <w:szCs w:val="28"/>
                <w:vertAlign w:val="baseline"/>
                <w:lang w:val="en-US" w:eastAsia="zh-CN"/>
              </w:rPr>
            </w:pPr>
            <w:r>
              <w:rPr>
                <w:rFonts w:hint="eastAsia"/>
                <w:sz w:val="28"/>
                <w:szCs w:val="28"/>
                <w:vertAlign w:val="baseline"/>
                <w:lang w:val="en-US" w:eastAsia="zh-CN"/>
              </w:rPr>
              <w:t>服务名称</w:t>
            </w:r>
          </w:p>
        </w:tc>
        <w:tc>
          <w:tcPr>
            <w:tcW w:w="2670" w:type="dxa"/>
          </w:tcPr>
          <w:p w14:paraId="43A4AF15">
            <w:pPr>
              <w:numPr>
                <w:ilvl w:val="0"/>
                <w:numId w:val="0"/>
              </w:numPr>
              <w:rPr>
                <w:rFonts w:hint="default"/>
                <w:sz w:val="28"/>
                <w:szCs w:val="28"/>
                <w:vertAlign w:val="baseline"/>
                <w:lang w:val="en-US" w:eastAsia="zh-CN"/>
              </w:rPr>
            </w:pPr>
            <w:r>
              <w:rPr>
                <w:rFonts w:hint="eastAsia"/>
                <w:sz w:val="28"/>
                <w:szCs w:val="28"/>
                <w:vertAlign w:val="baseline"/>
                <w:lang w:val="en-US" w:eastAsia="zh-CN"/>
              </w:rPr>
              <w:t>服务要求/服务标准</w:t>
            </w:r>
          </w:p>
        </w:tc>
        <w:tc>
          <w:tcPr>
            <w:tcW w:w="1350" w:type="dxa"/>
          </w:tcPr>
          <w:p w14:paraId="340EFDC9">
            <w:pPr>
              <w:numPr>
                <w:ilvl w:val="0"/>
                <w:numId w:val="0"/>
              </w:numPr>
              <w:rPr>
                <w:rFonts w:hint="default"/>
                <w:sz w:val="28"/>
                <w:szCs w:val="28"/>
                <w:vertAlign w:val="baseline"/>
                <w:lang w:val="en-US" w:eastAsia="zh-CN"/>
              </w:rPr>
            </w:pPr>
            <w:r>
              <w:rPr>
                <w:rFonts w:hint="eastAsia"/>
                <w:sz w:val="28"/>
                <w:szCs w:val="28"/>
                <w:vertAlign w:val="baseline"/>
                <w:lang w:val="en-US" w:eastAsia="zh-CN"/>
              </w:rPr>
              <w:t>服务地点</w:t>
            </w:r>
          </w:p>
        </w:tc>
        <w:tc>
          <w:tcPr>
            <w:tcW w:w="900" w:type="dxa"/>
          </w:tcPr>
          <w:p w14:paraId="38C0B057">
            <w:pPr>
              <w:numPr>
                <w:ilvl w:val="0"/>
                <w:numId w:val="0"/>
              </w:numPr>
              <w:rPr>
                <w:rFonts w:hint="default"/>
                <w:sz w:val="28"/>
                <w:szCs w:val="28"/>
                <w:vertAlign w:val="baseline"/>
                <w:lang w:val="en-US" w:eastAsia="zh-CN"/>
              </w:rPr>
            </w:pPr>
            <w:r>
              <w:rPr>
                <w:rFonts w:hint="eastAsia"/>
                <w:sz w:val="28"/>
                <w:szCs w:val="28"/>
                <w:vertAlign w:val="baseline"/>
                <w:lang w:val="en-US" w:eastAsia="zh-CN"/>
              </w:rPr>
              <w:t>预算</w:t>
            </w:r>
          </w:p>
        </w:tc>
        <w:tc>
          <w:tcPr>
            <w:tcW w:w="1386" w:type="dxa"/>
          </w:tcPr>
          <w:p w14:paraId="773B4159">
            <w:pPr>
              <w:numPr>
                <w:ilvl w:val="0"/>
                <w:numId w:val="0"/>
              </w:numPr>
              <w:rPr>
                <w:rFonts w:hint="default"/>
                <w:sz w:val="28"/>
                <w:szCs w:val="28"/>
                <w:vertAlign w:val="baseline"/>
                <w:lang w:val="en-US" w:eastAsia="zh-CN"/>
              </w:rPr>
            </w:pPr>
            <w:r>
              <w:rPr>
                <w:rFonts w:hint="eastAsia"/>
                <w:sz w:val="28"/>
                <w:szCs w:val="28"/>
                <w:vertAlign w:val="baseline"/>
                <w:lang w:val="en-US" w:eastAsia="zh-CN"/>
              </w:rPr>
              <w:t>备注</w:t>
            </w:r>
          </w:p>
        </w:tc>
      </w:tr>
      <w:tr w14:paraId="68A6A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3152" w:type="dxa"/>
          </w:tcPr>
          <w:p w14:paraId="247B1C32">
            <w:pPr>
              <w:numPr>
                <w:ilvl w:val="0"/>
                <w:numId w:val="0"/>
              </w:numPr>
              <w:rPr>
                <w:rFonts w:hint="default"/>
                <w:sz w:val="28"/>
                <w:szCs w:val="28"/>
                <w:vertAlign w:val="baseline"/>
                <w:lang w:val="en-US" w:eastAsia="zh-CN"/>
              </w:rPr>
            </w:pPr>
            <w:r>
              <w:rPr>
                <w:rFonts w:hint="eastAsia"/>
                <w:sz w:val="28"/>
                <w:szCs w:val="28"/>
                <w:vertAlign w:val="baseline"/>
                <w:lang w:val="en-US" w:eastAsia="zh-CN"/>
              </w:rPr>
              <w:t>小型业务用车维修保养</w:t>
            </w:r>
          </w:p>
        </w:tc>
        <w:tc>
          <w:tcPr>
            <w:tcW w:w="2670" w:type="dxa"/>
          </w:tcPr>
          <w:p w14:paraId="191A04F1">
            <w:pPr>
              <w:numPr>
                <w:ilvl w:val="0"/>
                <w:numId w:val="0"/>
              </w:numPr>
              <w:rPr>
                <w:rFonts w:hint="default"/>
                <w:sz w:val="28"/>
                <w:szCs w:val="28"/>
                <w:vertAlign w:val="baseline"/>
                <w:lang w:val="en-US" w:eastAsia="zh-CN"/>
              </w:rPr>
            </w:pPr>
            <w:r>
              <w:rPr>
                <w:rFonts w:hint="eastAsia"/>
                <w:sz w:val="28"/>
                <w:szCs w:val="28"/>
                <w:vertAlign w:val="baseline"/>
                <w:lang w:val="en-US" w:eastAsia="zh-CN"/>
              </w:rPr>
              <w:t>见招标文件</w:t>
            </w:r>
          </w:p>
        </w:tc>
        <w:tc>
          <w:tcPr>
            <w:tcW w:w="1350" w:type="dxa"/>
          </w:tcPr>
          <w:p w14:paraId="07E25130">
            <w:pPr>
              <w:numPr>
                <w:ilvl w:val="0"/>
                <w:numId w:val="0"/>
              </w:numPr>
              <w:rPr>
                <w:rFonts w:hint="default"/>
                <w:sz w:val="28"/>
                <w:szCs w:val="28"/>
                <w:vertAlign w:val="baseline"/>
                <w:lang w:val="en-US" w:eastAsia="zh-CN"/>
              </w:rPr>
            </w:pPr>
            <w:r>
              <w:rPr>
                <w:rFonts w:hint="eastAsia"/>
                <w:sz w:val="28"/>
                <w:szCs w:val="28"/>
                <w:vertAlign w:val="baseline"/>
                <w:lang w:val="en-US" w:eastAsia="zh-CN"/>
              </w:rPr>
              <w:t>郑州</w:t>
            </w:r>
          </w:p>
        </w:tc>
        <w:tc>
          <w:tcPr>
            <w:tcW w:w="900" w:type="dxa"/>
          </w:tcPr>
          <w:p w14:paraId="559D3850">
            <w:pPr>
              <w:numPr>
                <w:ilvl w:val="0"/>
                <w:numId w:val="0"/>
              </w:numPr>
              <w:rPr>
                <w:rFonts w:hint="default"/>
                <w:sz w:val="28"/>
                <w:szCs w:val="28"/>
                <w:vertAlign w:val="baseline"/>
                <w:lang w:val="en-US" w:eastAsia="zh-CN"/>
              </w:rPr>
            </w:pPr>
            <w:r>
              <w:rPr>
                <w:rFonts w:hint="eastAsia"/>
                <w:sz w:val="28"/>
                <w:szCs w:val="28"/>
                <w:vertAlign w:val="baseline"/>
                <w:lang w:val="en-US" w:eastAsia="zh-CN"/>
              </w:rPr>
              <w:t>17万</w:t>
            </w:r>
          </w:p>
        </w:tc>
        <w:tc>
          <w:tcPr>
            <w:tcW w:w="1386" w:type="dxa"/>
          </w:tcPr>
          <w:p w14:paraId="502573CB">
            <w:pPr>
              <w:numPr>
                <w:ilvl w:val="0"/>
                <w:numId w:val="0"/>
              </w:numPr>
              <w:rPr>
                <w:rFonts w:hint="default"/>
                <w:sz w:val="28"/>
                <w:szCs w:val="28"/>
                <w:vertAlign w:val="baseline"/>
                <w:lang w:val="en-US" w:eastAsia="zh-CN"/>
              </w:rPr>
            </w:pPr>
            <w:r>
              <w:rPr>
                <w:rFonts w:hint="eastAsia"/>
                <w:sz w:val="28"/>
                <w:szCs w:val="28"/>
                <w:vertAlign w:val="baseline"/>
                <w:lang w:val="en-US" w:eastAsia="zh-CN"/>
              </w:rPr>
              <w:t>中标1家</w:t>
            </w:r>
          </w:p>
        </w:tc>
      </w:tr>
    </w:tbl>
    <w:p w14:paraId="52F707F6">
      <w:pPr>
        <w:numPr>
          <w:ilvl w:val="0"/>
          <w:numId w:val="1"/>
        </w:numPr>
        <w:ind w:left="0" w:leftChars="0" w:firstLine="0" w:firstLineChars="0"/>
        <w:rPr>
          <w:rFonts w:hint="eastAsia"/>
          <w:sz w:val="28"/>
          <w:szCs w:val="28"/>
          <w:lang w:val="en-US" w:eastAsia="zh-CN"/>
        </w:rPr>
      </w:pPr>
      <w:r>
        <w:rPr>
          <w:rFonts w:hint="eastAsia"/>
          <w:sz w:val="28"/>
          <w:szCs w:val="28"/>
          <w:lang w:val="en-US" w:eastAsia="zh-CN"/>
        </w:rPr>
        <w:t>投标方资格条件：</w:t>
      </w:r>
    </w:p>
    <w:p w14:paraId="1D997FC5">
      <w:pPr>
        <w:numPr>
          <w:ilvl w:val="0"/>
          <w:numId w:val="2"/>
        </w:numPr>
        <w:ind w:leftChars="0"/>
        <w:rPr>
          <w:rFonts w:hint="eastAsia"/>
          <w:sz w:val="28"/>
          <w:szCs w:val="28"/>
          <w:lang w:val="en-US" w:eastAsia="zh-CN"/>
        </w:rPr>
      </w:pPr>
      <w:r>
        <w:rPr>
          <w:rFonts w:hint="eastAsia"/>
          <w:sz w:val="28"/>
          <w:szCs w:val="28"/>
          <w:lang w:val="en-US" w:eastAsia="zh-CN"/>
        </w:rPr>
        <w:t>符合《中华人民共和国政府采购法》第二十二条资格条件：</w:t>
      </w:r>
    </w:p>
    <w:p w14:paraId="00CC0F9A">
      <w:pPr>
        <w:numPr>
          <w:ilvl w:val="0"/>
          <w:numId w:val="3"/>
        </w:numPr>
        <w:ind w:left="140" w:leftChars="0" w:firstLine="0" w:firstLineChars="0"/>
        <w:rPr>
          <w:rFonts w:hint="eastAsia"/>
          <w:sz w:val="28"/>
          <w:szCs w:val="28"/>
          <w:lang w:val="en-US" w:eastAsia="zh-CN"/>
        </w:rPr>
      </w:pPr>
      <w:r>
        <w:rPr>
          <w:rFonts w:hint="eastAsia"/>
          <w:sz w:val="28"/>
          <w:szCs w:val="28"/>
          <w:lang w:val="en-US" w:eastAsia="zh-CN"/>
        </w:rPr>
        <w:t>具有独立承担民事责任的能力；</w:t>
      </w:r>
    </w:p>
    <w:p w14:paraId="5F292F8B">
      <w:pPr>
        <w:numPr>
          <w:ilvl w:val="0"/>
          <w:numId w:val="3"/>
        </w:numPr>
        <w:ind w:left="140" w:leftChars="0" w:firstLine="0" w:firstLineChars="0"/>
        <w:rPr>
          <w:rFonts w:hint="default"/>
          <w:sz w:val="28"/>
          <w:szCs w:val="28"/>
          <w:lang w:val="en-US" w:eastAsia="zh-CN"/>
        </w:rPr>
      </w:pPr>
      <w:r>
        <w:rPr>
          <w:rFonts w:hint="eastAsia"/>
          <w:sz w:val="28"/>
          <w:szCs w:val="28"/>
          <w:lang w:val="en-US" w:eastAsia="zh-CN"/>
        </w:rPr>
        <w:t>具有良好的商业信誉和健全的财务会计制度；</w:t>
      </w:r>
    </w:p>
    <w:p w14:paraId="75218673">
      <w:pPr>
        <w:numPr>
          <w:ilvl w:val="0"/>
          <w:numId w:val="3"/>
        </w:numPr>
        <w:ind w:left="140" w:leftChars="0" w:firstLine="0" w:firstLineChars="0"/>
        <w:rPr>
          <w:rFonts w:hint="default"/>
          <w:sz w:val="28"/>
          <w:szCs w:val="28"/>
          <w:lang w:val="en-US" w:eastAsia="zh-CN"/>
        </w:rPr>
      </w:pPr>
      <w:r>
        <w:rPr>
          <w:rFonts w:hint="eastAsia"/>
          <w:sz w:val="28"/>
          <w:szCs w:val="28"/>
          <w:lang w:val="en-US" w:eastAsia="zh-CN"/>
        </w:rPr>
        <w:t>具有履行合同所需的设备和专业技术能力；</w:t>
      </w:r>
    </w:p>
    <w:p w14:paraId="25EB26B2">
      <w:pPr>
        <w:numPr>
          <w:ilvl w:val="0"/>
          <w:numId w:val="3"/>
        </w:numPr>
        <w:ind w:left="140" w:leftChars="0" w:firstLine="0" w:firstLineChars="0"/>
        <w:rPr>
          <w:rFonts w:hint="default"/>
          <w:sz w:val="28"/>
          <w:szCs w:val="28"/>
          <w:lang w:val="en-US" w:eastAsia="zh-CN"/>
        </w:rPr>
      </w:pPr>
      <w:r>
        <w:rPr>
          <w:rFonts w:hint="eastAsia"/>
          <w:sz w:val="28"/>
          <w:szCs w:val="28"/>
          <w:lang w:val="en-US" w:eastAsia="zh-CN"/>
        </w:rPr>
        <w:t>有依法缴纳税收和社会保障资金的良好记录；</w:t>
      </w:r>
    </w:p>
    <w:p w14:paraId="6BA3D75A">
      <w:pPr>
        <w:numPr>
          <w:ilvl w:val="0"/>
          <w:numId w:val="3"/>
        </w:numPr>
        <w:ind w:left="140" w:leftChars="0" w:firstLine="0" w:firstLineChars="0"/>
        <w:rPr>
          <w:rFonts w:hint="default"/>
          <w:sz w:val="28"/>
          <w:szCs w:val="28"/>
          <w:lang w:val="en-US" w:eastAsia="zh-CN"/>
        </w:rPr>
      </w:pPr>
      <w:r>
        <w:rPr>
          <w:rFonts w:hint="eastAsia"/>
          <w:sz w:val="28"/>
          <w:szCs w:val="28"/>
          <w:lang w:val="en-US" w:eastAsia="zh-CN"/>
        </w:rPr>
        <w:t>参加政府采购活动前3年内，在经营活动中没有重大违法记录；</w:t>
      </w:r>
    </w:p>
    <w:p w14:paraId="220BC1E1">
      <w:pPr>
        <w:numPr>
          <w:ilvl w:val="0"/>
          <w:numId w:val="3"/>
        </w:numPr>
        <w:ind w:left="140" w:leftChars="0" w:firstLine="0" w:firstLineChars="0"/>
        <w:rPr>
          <w:rFonts w:hint="default"/>
          <w:sz w:val="28"/>
          <w:szCs w:val="28"/>
          <w:lang w:val="en-US" w:eastAsia="zh-CN"/>
        </w:rPr>
      </w:pPr>
      <w:r>
        <w:rPr>
          <w:rFonts w:hint="eastAsia"/>
          <w:sz w:val="28"/>
          <w:szCs w:val="28"/>
          <w:lang w:val="en-US" w:eastAsia="zh-CN"/>
        </w:rPr>
        <w:t>法律、行政法规规定的其他条件。</w:t>
      </w:r>
    </w:p>
    <w:p w14:paraId="5B1CF460">
      <w:pPr>
        <w:numPr>
          <w:ilvl w:val="0"/>
          <w:numId w:val="2"/>
        </w:numPr>
        <w:ind w:left="0" w:leftChars="0" w:firstLine="0" w:firstLineChars="0"/>
        <w:rPr>
          <w:rFonts w:hint="eastAsia"/>
          <w:sz w:val="28"/>
          <w:szCs w:val="28"/>
          <w:lang w:val="en-US" w:eastAsia="zh-CN"/>
        </w:rPr>
      </w:pPr>
      <w:r>
        <w:rPr>
          <w:rFonts w:hint="eastAsia"/>
          <w:sz w:val="28"/>
          <w:szCs w:val="28"/>
          <w:lang w:val="en-US" w:eastAsia="zh-CN"/>
        </w:rPr>
        <w:t>投标方成立时间不少于3年，且为非外资独资或外资控股企业。</w:t>
      </w:r>
    </w:p>
    <w:p w14:paraId="17596945">
      <w:pPr>
        <w:numPr>
          <w:ilvl w:val="0"/>
          <w:numId w:val="2"/>
        </w:numPr>
        <w:ind w:left="0" w:leftChars="0" w:firstLine="0" w:firstLineChars="0"/>
        <w:rPr>
          <w:rFonts w:hint="default"/>
          <w:lang w:val="en-US" w:eastAsia="zh-CN"/>
        </w:rPr>
      </w:pPr>
      <w:r>
        <w:rPr>
          <w:rFonts w:hint="eastAsia"/>
          <w:sz w:val="28"/>
          <w:szCs w:val="28"/>
          <w:lang w:val="en-US" w:eastAsia="zh-CN"/>
        </w:rPr>
        <w:t>单位负责人为同一人或者存在直接控股、管理关系的不同投标方，不得同时参加同一包的采购活动。生产性企业生产场地为同一地址的，销售型企业之间股东有关联的，一律视为有直接控股、管理关系。投标方之间有上述关系的，应主动声明，否则将给予列入不良记录名单、3年内不得参加采购活动的处罚。</w:t>
      </w:r>
    </w:p>
    <w:p w14:paraId="307129E8">
      <w:pPr>
        <w:numPr>
          <w:ilvl w:val="0"/>
          <w:numId w:val="2"/>
        </w:numPr>
        <w:ind w:left="0" w:leftChars="0" w:firstLine="0" w:firstLineChars="0"/>
        <w:rPr>
          <w:rFonts w:hint="default"/>
          <w:sz w:val="28"/>
          <w:szCs w:val="28"/>
          <w:lang w:val="en-US" w:eastAsia="zh-CN"/>
        </w:rPr>
      </w:pPr>
      <w:r>
        <w:rPr>
          <w:rFonts w:hint="eastAsia"/>
          <w:sz w:val="28"/>
          <w:szCs w:val="28"/>
          <w:lang w:val="en-US" w:eastAsia="zh-CN"/>
        </w:rPr>
        <w:t>本项目不接受联合体报价。</w:t>
      </w:r>
    </w:p>
    <w:p w14:paraId="55598360">
      <w:pPr>
        <w:numPr>
          <w:ilvl w:val="0"/>
          <w:numId w:val="2"/>
        </w:numPr>
        <w:ind w:left="0" w:leftChars="0" w:firstLine="0" w:firstLineChars="0"/>
        <w:rPr>
          <w:rFonts w:hint="default"/>
          <w:sz w:val="28"/>
          <w:szCs w:val="28"/>
          <w:lang w:val="en-US" w:eastAsia="zh-CN"/>
        </w:rPr>
      </w:pPr>
      <w:r>
        <w:rPr>
          <w:rFonts w:hint="eastAsia"/>
          <w:sz w:val="28"/>
          <w:szCs w:val="28"/>
          <w:lang w:val="en-US" w:eastAsia="zh-CN"/>
        </w:rPr>
        <w:t>投标方具有道理运输主管部门核发的中华人民共和国道路运输经营许可证，二类维修（含二类）以上资质。</w:t>
      </w:r>
    </w:p>
    <w:p w14:paraId="4E2E1458">
      <w:pPr>
        <w:numPr>
          <w:ilvl w:val="0"/>
          <w:numId w:val="2"/>
        </w:numPr>
        <w:ind w:left="0" w:leftChars="0" w:firstLine="0" w:firstLineChars="0"/>
        <w:rPr>
          <w:rFonts w:hint="default"/>
          <w:sz w:val="28"/>
          <w:szCs w:val="28"/>
          <w:lang w:val="en-US" w:eastAsia="zh-CN"/>
        </w:rPr>
      </w:pPr>
      <w:r>
        <w:rPr>
          <w:rFonts w:hint="eastAsia"/>
          <w:sz w:val="28"/>
          <w:szCs w:val="28"/>
          <w:lang w:val="en-US" w:eastAsia="zh-CN"/>
        </w:rPr>
        <w:t>投标方2021年1月1日以来至今有与党政机关事业单位（不限定服务车辆数量）或企业（服务车辆20辆以上）车辆维护修理类似服务项目的业绩。</w:t>
      </w:r>
    </w:p>
    <w:p w14:paraId="2D2F0CBD">
      <w:pPr>
        <w:numPr>
          <w:ilvl w:val="0"/>
          <w:numId w:val="2"/>
        </w:numPr>
        <w:ind w:left="0" w:leftChars="0" w:firstLine="0" w:firstLineChars="0"/>
        <w:rPr>
          <w:rFonts w:hint="default"/>
          <w:sz w:val="28"/>
          <w:szCs w:val="28"/>
          <w:lang w:val="en-US" w:eastAsia="zh-CN"/>
        </w:rPr>
      </w:pPr>
      <w:r>
        <w:rPr>
          <w:rFonts w:hint="eastAsia"/>
          <w:sz w:val="28"/>
          <w:szCs w:val="28"/>
          <w:lang w:val="en-US" w:eastAsia="zh-CN"/>
        </w:rPr>
        <w:t>指定维修服务点在郑州市主城区，距单位同乐路9号30公里内，以百度地图直线距离为准。</w:t>
      </w:r>
    </w:p>
    <w:p w14:paraId="22B05CC6">
      <w:pPr>
        <w:numPr>
          <w:ilvl w:val="0"/>
          <w:numId w:val="0"/>
        </w:numPr>
        <w:ind w:leftChars="0"/>
        <w:rPr>
          <w:rFonts w:hint="eastAsia"/>
          <w:b/>
          <w:bCs/>
          <w:sz w:val="28"/>
          <w:szCs w:val="28"/>
          <w:lang w:val="en-US" w:eastAsia="zh-CN"/>
        </w:rPr>
      </w:pPr>
      <w:r>
        <w:rPr>
          <w:rFonts w:hint="eastAsia"/>
          <w:b/>
          <w:bCs/>
          <w:sz w:val="28"/>
          <w:szCs w:val="28"/>
          <w:lang w:val="en-US" w:eastAsia="zh-CN"/>
        </w:rPr>
        <w:t>采购项目技术和商务要求</w:t>
      </w:r>
    </w:p>
    <w:p w14:paraId="0023A859">
      <w:pPr>
        <w:numPr>
          <w:ilvl w:val="0"/>
          <w:numId w:val="4"/>
        </w:numPr>
        <w:ind w:leftChars="0"/>
        <w:rPr>
          <w:rFonts w:hint="default"/>
          <w:sz w:val="28"/>
          <w:szCs w:val="28"/>
          <w:lang w:val="en-US" w:eastAsia="zh-CN"/>
        </w:rPr>
      </w:pPr>
      <w:r>
        <w:rPr>
          <w:rFonts w:hint="eastAsia"/>
          <w:sz w:val="28"/>
          <w:szCs w:val="28"/>
          <w:lang w:val="en-US" w:eastAsia="zh-CN"/>
        </w:rPr>
        <w:t>基本要求</w:t>
      </w:r>
    </w:p>
    <w:p w14:paraId="0E7943B2">
      <w:pPr>
        <w:numPr>
          <w:ilvl w:val="0"/>
          <w:numId w:val="0"/>
        </w:numPr>
        <w:ind w:firstLine="560"/>
        <w:rPr>
          <w:rFonts w:hint="eastAsia"/>
          <w:sz w:val="28"/>
          <w:szCs w:val="28"/>
          <w:lang w:val="en-US" w:eastAsia="zh-CN"/>
        </w:rPr>
      </w:pPr>
      <w:r>
        <w:rPr>
          <w:rFonts w:hint="eastAsia"/>
          <w:sz w:val="28"/>
          <w:szCs w:val="28"/>
          <w:lang w:val="en-US" w:eastAsia="zh-CN"/>
        </w:rPr>
        <w:t>本项目为车辆定点维修厂服务遴选，要求定点维修机构严格按照《机动车维修管理规定》（2019年6月21日第三次修订版）等国家法律法规的规定为招标方做好各种机动车辆的维修服务工作，车辆维修服务工作包括整车修理、总成修理、整车各级维护、小修、维修救援和专线修理工作。</w:t>
      </w:r>
    </w:p>
    <w:p w14:paraId="47CB2422">
      <w:pPr>
        <w:numPr>
          <w:ilvl w:val="0"/>
          <w:numId w:val="4"/>
        </w:numPr>
        <w:ind w:left="0" w:leftChars="0" w:firstLine="0" w:firstLineChars="0"/>
        <w:jc w:val="left"/>
        <w:rPr>
          <w:rFonts w:hint="eastAsia"/>
          <w:sz w:val="28"/>
          <w:szCs w:val="28"/>
          <w:lang w:val="en-US" w:eastAsia="zh-CN"/>
        </w:rPr>
      </w:pPr>
      <w:r>
        <w:rPr>
          <w:rFonts w:hint="eastAsia"/>
          <w:sz w:val="28"/>
          <w:szCs w:val="28"/>
          <w:lang w:val="en-US" w:eastAsia="zh-CN"/>
        </w:rPr>
        <w:t>服务车辆清单</w:t>
      </w:r>
    </w:p>
    <w:p w14:paraId="303E6A69">
      <w:pPr>
        <w:numPr>
          <w:ilvl w:val="0"/>
          <w:numId w:val="0"/>
        </w:numPr>
        <w:ind w:leftChars="0"/>
        <w:jc w:val="left"/>
        <w:rPr>
          <w:rFonts w:hint="eastAsia"/>
          <w:sz w:val="28"/>
          <w:szCs w:val="28"/>
          <w:lang w:val="en-US" w:eastAsia="zh-CN"/>
        </w:rPr>
      </w:pPr>
      <w:r>
        <w:rPr>
          <w:rFonts w:hint="eastAsia" w:ascii="宋体" w:hAnsi="宋体" w:eastAsia="宋体" w:cs="宋体"/>
          <w:sz w:val="28"/>
          <w:szCs w:val="28"/>
          <w:highlight w:val="none"/>
          <w:lang w:val="en-US" w:eastAsia="zh-CN"/>
        </w:rPr>
        <w:t>3辆上元牌（奔驰）、4辆大通、1辆凯领、1辆索兰托、1辆瑞风、1辆传奇、1辆迈腾、6辆宇通共计18辆。</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210"/>
        <w:gridCol w:w="4291"/>
      </w:tblGrid>
      <w:tr w14:paraId="56285134">
        <w:tblPrEx>
          <w:tblCellMar>
            <w:top w:w="0" w:type="dxa"/>
            <w:left w:w="108" w:type="dxa"/>
            <w:bottom w:w="0" w:type="dxa"/>
            <w:right w:w="108" w:type="dxa"/>
          </w:tblCellMar>
        </w:tblPrEx>
        <w:tc>
          <w:tcPr>
            <w:tcW w:w="1021" w:type="dxa"/>
          </w:tcPr>
          <w:p w14:paraId="4B0774BA">
            <w:pPr>
              <w:numPr>
                <w:ilvl w:val="0"/>
                <w:numId w:val="0"/>
              </w:numPr>
              <w:jc w:val="left"/>
              <w:rPr>
                <w:rFonts w:hint="default"/>
                <w:sz w:val="28"/>
                <w:szCs w:val="28"/>
                <w:vertAlign w:val="baseline"/>
                <w:lang w:val="en-US" w:eastAsia="zh-CN"/>
              </w:rPr>
            </w:pPr>
            <w:r>
              <w:rPr>
                <w:rFonts w:hint="eastAsia"/>
                <w:sz w:val="28"/>
                <w:szCs w:val="28"/>
                <w:vertAlign w:val="baseline"/>
                <w:lang w:val="en-US" w:eastAsia="zh-CN"/>
              </w:rPr>
              <w:t>序号</w:t>
            </w:r>
          </w:p>
        </w:tc>
        <w:tc>
          <w:tcPr>
            <w:tcW w:w="3210" w:type="dxa"/>
          </w:tcPr>
          <w:p w14:paraId="7451DEBC">
            <w:pPr>
              <w:numPr>
                <w:ilvl w:val="0"/>
                <w:numId w:val="0"/>
              </w:numPr>
              <w:jc w:val="left"/>
              <w:rPr>
                <w:rFonts w:hint="default"/>
                <w:sz w:val="28"/>
                <w:szCs w:val="28"/>
                <w:vertAlign w:val="baseline"/>
                <w:lang w:val="en-US" w:eastAsia="zh-CN"/>
              </w:rPr>
            </w:pPr>
            <w:r>
              <w:rPr>
                <w:rFonts w:hint="eastAsia"/>
                <w:sz w:val="28"/>
                <w:szCs w:val="28"/>
                <w:vertAlign w:val="baseline"/>
                <w:lang w:val="en-US" w:eastAsia="zh-CN"/>
              </w:rPr>
              <w:t>车辆类型</w:t>
            </w:r>
          </w:p>
        </w:tc>
        <w:tc>
          <w:tcPr>
            <w:tcW w:w="4291" w:type="dxa"/>
          </w:tcPr>
          <w:p w14:paraId="4A8763DA">
            <w:pPr>
              <w:numPr>
                <w:ilvl w:val="0"/>
                <w:numId w:val="0"/>
              </w:numPr>
              <w:jc w:val="left"/>
              <w:rPr>
                <w:rFonts w:hint="default"/>
                <w:sz w:val="28"/>
                <w:szCs w:val="28"/>
                <w:vertAlign w:val="baseline"/>
                <w:lang w:val="en-US" w:eastAsia="zh-CN"/>
              </w:rPr>
            </w:pPr>
            <w:r>
              <w:rPr>
                <w:rFonts w:hint="eastAsia"/>
                <w:sz w:val="28"/>
                <w:szCs w:val="28"/>
                <w:vertAlign w:val="baseline"/>
                <w:lang w:val="en-US" w:eastAsia="zh-CN"/>
              </w:rPr>
              <w:t>车辆型号</w:t>
            </w:r>
          </w:p>
        </w:tc>
      </w:tr>
      <w:tr w14:paraId="72FB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3E1387FF">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1</w:t>
            </w:r>
          </w:p>
        </w:tc>
        <w:tc>
          <w:tcPr>
            <w:tcW w:w="3210" w:type="dxa"/>
            <w:vAlign w:val="top"/>
          </w:tcPr>
          <w:p w14:paraId="29D13027">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179C92B2">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上元牌</w:t>
            </w:r>
          </w:p>
        </w:tc>
      </w:tr>
      <w:tr w14:paraId="3110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15B55A4E">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2</w:t>
            </w:r>
          </w:p>
        </w:tc>
        <w:tc>
          <w:tcPr>
            <w:tcW w:w="3210" w:type="dxa"/>
            <w:vAlign w:val="top"/>
          </w:tcPr>
          <w:p w14:paraId="467825AC">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61E74609">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上元牌</w:t>
            </w:r>
          </w:p>
        </w:tc>
      </w:tr>
      <w:tr w14:paraId="48E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08D57D29">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3</w:t>
            </w:r>
          </w:p>
        </w:tc>
        <w:tc>
          <w:tcPr>
            <w:tcW w:w="3210" w:type="dxa"/>
            <w:vAlign w:val="top"/>
          </w:tcPr>
          <w:p w14:paraId="7D8300AC">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07C9CF1F">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上元牌</w:t>
            </w:r>
          </w:p>
        </w:tc>
      </w:tr>
      <w:tr w14:paraId="7D7F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51E02EC7">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4</w:t>
            </w:r>
          </w:p>
        </w:tc>
        <w:tc>
          <w:tcPr>
            <w:tcW w:w="3210" w:type="dxa"/>
            <w:vAlign w:val="top"/>
          </w:tcPr>
          <w:p w14:paraId="0BC76331">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673E2C20">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大通牌</w:t>
            </w:r>
          </w:p>
        </w:tc>
      </w:tr>
      <w:tr w14:paraId="1A47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4E01EA45">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5</w:t>
            </w:r>
          </w:p>
        </w:tc>
        <w:tc>
          <w:tcPr>
            <w:tcW w:w="3210" w:type="dxa"/>
            <w:vAlign w:val="top"/>
          </w:tcPr>
          <w:p w14:paraId="7764816B">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0BC9B0F1">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大通牌</w:t>
            </w:r>
          </w:p>
        </w:tc>
      </w:tr>
      <w:tr w14:paraId="4D189A70">
        <w:tblPrEx>
          <w:tblCellMar>
            <w:top w:w="0" w:type="dxa"/>
            <w:left w:w="108" w:type="dxa"/>
            <w:bottom w:w="0" w:type="dxa"/>
            <w:right w:w="108" w:type="dxa"/>
          </w:tblCellMar>
        </w:tblPrEx>
        <w:tc>
          <w:tcPr>
            <w:tcW w:w="1021" w:type="dxa"/>
            <w:vAlign w:val="top"/>
          </w:tcPr>
          <w:p w14:paraId="71EFE831">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6</w:t>
            </w:r>
          </w:p>
        </w:tc>
        <w:tc>
          <w:tcPr>
            <w:tcW w:w="3210" w:type="dxa"/>
            <w:vAlign w:val="top"/>
          </w:tcPr>
          <w:p w14:paraId="78E9A9A9">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00826841">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大通牌</w:t>
            </w:r>
          </w:p>
        </w:tc>
      </w:tr>
      <w:tr w14:paraId="1984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6E5781AE">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7</w:t>
            </w:r>
          </w:p>
        </w:tc>
        <w:tc>
          <w:tcPr>
            <w:tcW w:w="3210" w:type="dxa"/>
            <w:vAlign w:val="top"/>
          </w:tcPr>
          <w:p w14:paraId="467F8A6F">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64425AA8">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大通牌</w:t>
            </w:r>
          </w:p>
        </w:tc>
      </w:tr>
      <w:tr w14:paraId="63DB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47DAC4AE">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8</w:t>
            </w:r>
          </w:p>
        </w:tc>
        <w:tc>
          <w:tcPr>
            <w:tcW w:w="3210" w:type="dxa"/>
            <w:vAlign w:val="top"/>
          </w:tcPr>
          <w:p w14:paraId="26CDE9D2">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公务车</w:t>
            </w:r>
          </w:p>
        </w:tc>
        <w:tc>
          <w:tcPr>
            <w:tcW w:w="4291" w:type="dxa"/>
            <w:vAlign w:val="top"/>
          </w:tcPr>
          <w:p w14:paraId="7AEEF1E7">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道奇牌</w:t>
            </w:r>
          </w:p>
        </w:tc>
      </w:tr>
      <w:tr w14:paraId="114D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0E982282">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9</w:t>
            </w:r>
          </w:p>
        </w:tc>
        <w:tc>
          <w:tcPr>
            <w:tcW w:w="3210" w:type="dxa"/>
            <w:vAlign w:val="top"/>
          </w:tcPr>
          <w:p w14:paraId="01A370FF">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公务车</w:t>
            </w:r>
          </w:p>
        </w:tc>
        <w:tc>
          <w:tcPr>
            <w:tcW w:w="4291" w:type="dxa"/>
            <w:vAlign w:val="top"/>
          </w:tcPr>
          <w:p w14:paraId="42AE7050">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索兰托</w:t>
            </w:r>
          </w:p>
        </w:tc>
      </w:tr>
      <w:tr w14:paraId="57DB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5309CFD9">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10</w:t>
            </w:r>
          </w:p>
        </w:tc>
        <w:tc>
          <w:tcPr>
            <w:tcW w:w="3210" w:type="dxa"/>
            <w:vAlign w:val="top"/>
          </w:tcPr>
          <w:p w14:paraId="343B8CA7">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公务车</w:t>
            </w:r>
          </w:p>
        </w:tc>
        <w:tc>
          <w:tcPr>
            <w:tcW w:w="4291" w:type="dxa"/>
            <w:vAlign w:val="top"/>
          </w:tcPr>
          <w:p w14:paraId="615D498D">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传奇</w:t>
            </w:r>
          </w:p>
        </w:tc>
      </w:tr>
      <w:tr w14:paraId="4B9E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43CAEB3B">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11</w:t>
            </w:r>
          </w:p>
        </w:tc>
        <w:tc>
          <w:tcPr>
            <w:tcW w:w="3210" w:type="dxa"/>
            <w:vAlign w:val="top"/>
          </w:tcPr>
          <w:p w14:paraId="2DE30F50">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54A2143A">
            <w:pPr>
              <w:spacing w:line="360" w:lineRule="auto"/>
              <w:rPr>
                <w:rFonts w:hint="default" w:asciiTheme="minorEastAsia" w:hAnsiTheme="minorEastAsia" w:eastAsiaTheme="minorEastAsia" w:cstheme="minorEastAsia"/>
                <w:kern w:val="2"/>
                <w:sz w:val="28"/>
                <w:szCs w:val="28"/>
                <w:vertAlign w:val="baseline"/>
                <w:lang w:val="en-US" w:eastAsia="zh-CN" w:bidi="ar-SA"/>
              </w:rPr>
            </w:pPr>
            <w:r>
              <w:rPr>
                <w:rFonts w:hint="eastAsia" w:ascii="宋体" w:hAnsi="宋体" w:eastAsia="宋体" w:cs="宋体"/>
                <w:sz w:val="28"/>
                <w:szCs w:val="28"/>
                <w:highlight w:val="none"/>
                <w:lang w:val="en-US" w:eastAsia="zh-CN"/>
              </w:rPr>
              <w:t>瑞风</w:t>
            </w:r>
          </w:p>
        </w:tc>
      </w:tr>
      <w:tr w14:paraId="41B68C9A">
        <w:tblPrEx>
          <w:tblCellMar>
            <w:top w:w="0" w:type="dxa"/>
            <w:left w:w="108" w:type="dxa"/>
            <w:bottom w:w="0" w:type="dxa"/>
            <w:right w:w="108" w:type="dxa"/>
          </w:tblCellMar>
        </w:tblPrEx>
        <w:tc>
          <w:tcPr>
            <w:tcW w:w="1021" w:type="dxa"/>
            <w:vAlign w:val="top"/>
          </w:tcPr>
          <w:p w14:paraId="5F41415F">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eastAsiaTheme="minorEastAsia" w:cstheme="minorEastAsia"/>
                <w:sz w:val="28"/>
                <w:szCs w:val="28"/>
                <w:vertAlign w:val="baseline"/>
                <w:lang w:val="en-US" w:eastAsia="zh-CN"/>
              </w:rPr>
              <w:t>12</w:t>
            </w:r>
          </w:p>
        </w:tc>
        <w:tc>
          <w:tcPr>
            <w:tcW w:w="3210" w:type="dxa"/>
            <w:vAlign w:val="top"/>
          </w:tcPr>
          <w:p w14:paraId="2FD85B1E">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公务车</w:t>
            </w:r>
          </w:p>
        </w:tc>
        <w:tc>
          <w:tcPr>
            <w:tcW w:w="4291" w:type="dxa"/>
            <w:vAlign w:val="top"/>
          </w:tcPr>
          <w:p w14:paraId="53CD819E">
            <w:pPr>
              <w:rPr>
                <w:rFonts w:hint="default"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迈腾</w:t>
            </w:r>
          </w:p>
        </w:tc>
      </w:tr>
      <w:tr w14:paraId="6B03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72B6C220">
            <w:pPr>
              <w:rPr>
                <w:rFonts w:hint="default"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13</w:t>
            </w:r>
          </w:p>
        </w:tc>
        <w:tc>
          <w:tcPr>
            <w:tcW w:w="3210" w:type="dxa"/>
            <w:vAlign w:val="top"/>
          </w:tcPr>
          <w:p w14:paraId="7E51C04F">
            <w:pPr>
              <w:rPr>
                <w:rFonts w:hint="eastAsia"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554018A1">
            <w:pPr>
              <w:rPr>
                <w:rFonts w:hint="default"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宇通牌</w:t>
            </w:r>
          </w:p>
        </w:tc>
      </w:tr>
      <w:tr w14:paraId="0608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06D6A95D">
            <w:pPr>
              <w:rPr>
                <w:rFonts w:hint="default"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14</w:t>
            </w:r>
          </w:p>
        </w:tc>
        <w:tc>
          <w:tcPr>
            <w:tcW w:w="3210" w:type="dxa"/>
            <w:vAlign w:val="top"/>
          </w:tcPr>
          <w:p w14:paraId="5080B4D1">
            <w:pPr>
              <w:rPr>
                <w:rFonts w:hint="eastAsia"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55ECF25B">
            <w:pPr>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宇通牌</w:t>
            </w:r>
          </w:p>
        </w:tc>
      </w:tr>
      <w:tr w14:paraId="0DBA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66EC0D03">
            <w:pPr>
              <w:rPr>
                <w:rFonts w:hint="default"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15</w:t>
            </w:r>
          </w:p>
        </w:tc>
        <w:tc>
          <w:tcPr>
            <w:tcW w:w="3210" w:type="dxa"/>
            <w:vAlign w:val="top"/>
          </w:tcPr>
          <w:p w14:paraId="734C1E83">
            <w:pPr>
              <w:rPr>
                <w:rFonts w:hint="eastAsia"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15CF1D1A">
            <w:pPr>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宇通牌</w:t>
            </w:r>
          </w:p>
        </w:tc>
      </w:tr>
      <w:tr w14:paraId="1E46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7A50C221">
            <w:pPr>
              <w:rPr>
                <w:rFonts w:hint="default"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16</w:t>
            </w:r>
          </w:p>
        </w:tc>
        <w:tc>
          <w:tcPr>
            <w:tcW w:w="3210" w:type="dxa"/>
            <w:vAlign w:val="top"/>
          </w:tcPr>
          <w:p w14:paraId="2EDD4DCA">
            <w:pPr>
              <w:rPr>
                <w:rFonts w:hint="eastAsia"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7388EF88">
            <w:pPr>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宇通牌</w:t>
            </w:r>
          </w:p>
        </w:tc>
      </w:tr>
      <w:tr w14:paraId="3552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30522C3D">
            <w:pPr>
              <w:rPr>
                <w:rFonts w:hint="default" w:asciiTheme="minorEastAsia" w:hAnsi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17</w:t>
            </w:r>
          </w:p>
        </w:tc>
        <w:tc>
          <w:tcPr>
            <w:tcW w:w="3210" w:type="dxa"/>
            <w:vAlign w:val="top"/>
          </w:tcPr>
          <w:p w14:paraId="3E4A438C">
            <w:pPr>
              <w:rPr>
                <w:rFonts w:hint="eastAsia"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0749C9E1">
            <w:pPr>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宇通牌</w:t>
            </w:r>
          </w:p>
        </w:tc>
      </w:tr>
      <w:tr w14:paraId="17F2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1" w:type="dxa"/>
            <w:vAlign w:val="top"/>
          </w:tcPr>
          <w:p w14:paraId="53A61350">
            <w:pPr>
              <w:rPr>
                <w:rFonts w:hint="default" w:asciiTheme="minorEastAsia" w:hAnsi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18</w:t>
            </w:r>
          </w:p>
        </w:tc>
        <w:tc>
          <w:tcPr>
            <w:tcW w:w="3210" w:type="dxa"/>
            <w:vAlign w:val="top"/>
          </w:tcPr>
          <w:p w14:paraId="6A07C997">
            <w:pPr>
              <w:rPr>
                <w:rFonts w:hint="eastAsia" w:asciiTheme="minorEastAsia" w:hAnsiTheme="minorEastAsia" w:eastAsiaTheme="minorEastAsia" w:cstheme="minorEastAsia"/>
                <w:kern w:val="2"/>
                <w:sz w:val="28"/>
                <w:szCs w:val="28"/>
                <w:vertAlign w:val="baseline"/>
                <w:lang w:val="en-US" w:eastAsia="zh-CN" w:bidi="ar-SA"/>
              </w:rPr>
            </w:pPr>
            <w:r>
              <w:rPr>
                <w:rFonts w:hint="eastAsia" w:asciiTheme="minorEastAsia" w:hAnsiTheme="minorEastAsia" w:cstheme="minorEastAsia"/>
                <w:sz w:val="28"/>
                <w:szCs w:val="28"/>
                <w:vertAlign w:val="baseline"/>
                <w:lang w:val="en-US" w:eastAsia="zh-CN"/>
              </w:rPr>
              <w:t>特种专业技术用车</w:t>
            </w:r>
          </w:p>
        </w:tc>
        <w:tc>
          <w:tcPr>
            <w:tcW w:w="4291" w:type="dxa"/>
            <w:vAlign w:val="top"/>
          </w:tcPr>
          <w:p w14:paraId="66610E8B">
            <w:pPr>
              <w:rPr>
                <w:rFonts w:hint="eastAsia" w:asciiTheme="minorEastAsia" w:hAnsiTheme="minorEastAsia" w:eastAsiaTheme="minorEastAsia" w:cstheme="minorEastAsia"/>
                <w:sz w:val="28"/>
                <w:szCs w:val="28"/>
                <w:vertAlign w:val="baseline"/>
                <w:lang w:val="en-US" w:eastAsia="zh-CN"/>
              </w:rPr>
            </w:pPr>
            <w:r>
              <w:rPr>
                <w:rFonts w:hint="eastAsia" w:asciiTheme="minorEastAsia" w:hAnsiTheme="minorEastAsia" w:cstheme="minorEastAsia"/>
                <w:sz w:val="28"/>
                <w:szCs w:val="28"/>
                <w:vertAlign w:val="baseline"/>
                <w:lang w:val="en-US" w:eastAsia="zh-CN"/>
              </w:rPr>
              <w:t>宇通牌</w:t>
            </w:r>
          </w:p>
        </w:tc>
      </w:tr>
    </w:tbl>
    <w:p w14:paraId="61269BDB">
      <w:pPr>
        <w:numPr>
          <w:ilvl w:val="0"/>
          <w:numId w:val="4"/>
        </w:numPr>
        <w:ind w:left="0" w:leftChars="0" w:firstLine="0" w:firstLineChars="0"/>
        <w:jc w:val="left"/>
        <w:rPr>
          <w:rFonts w:hint="eastAsia"/>
          <w:sz w:val="28"/>
          <w:szCs w:val="28"/>
          <w:lang w:val="en-US" w:eastAsia="zh-CN"/>
        </w:rPr>
      </w:pPr>
      <w:r>
        <w:rPr>
          <w:rFonts w:hint="eastAsia"/>
          <w:sz w:val="28"/>
          <w:szCs w:val="28"/>
          <w:lang w:val="en-US" w:eastAsia="zh-CN"/>
        </w:rPr>
        <w:t>维修服务要求</w:t>
      </w:r>
    </w:p>
    <w:p w14:paraId="51605E5A">
      <w:pPr>
        <w:numPr>
          <w:ilvl w:val="0"/>
          <w:numId w:val="5"/>
        </w:numPr>
        <w:ind w:leftChars="0"/>
        <w:jc w:val="left"/>
        <w:rPr>
          <w:rFonts w:hint="eastAsia"/>
          <w:lang w:val="en-US" w:eastAsia="zh-CN"/>
        </w:rPr>
      </w:pPr>
      <w:r>
        <w:rPr>
          <w:rFonts w:hint="eastAsia"/>
          <w:sz w:val="28"/>
          <w:szCs w:val="28"/>
          <w:lang w:val="en-US" w:eastAsia="zh-CN"/>
        </w:rPr>
        <w:t>严格执行国家和单位相关法律规定，圆满完成车辆保养及维修工作，确保质量，提供快捷、方便、满意的服务；</w:t>
      </w:r>
    </w:p>
    <w:p w14:paraId="06A0B92F">
      <w:pPr>
        <w:numPr>
          <w:ilvl w:val="0"/>
          <w:numId w:val="0"/>
        </w:numPr>
        <w:jc w:val="left"/>
        <w:rPr>
          <w:rFonts w:hint="default"/>
          <w:sz w:val="28"/>
          <w:szCs w:val="28"/>
          <w:lang w:val="en-US" w:eastAsia="zh-CN"/>
        </w:rPr>
      </w:pPr>
      <w:r>
        <w:rPr>
          <w:rFonts w:hint="eastAsia"/>
          <w:sz w:val="28"/>
          <w:szCs w:val="28"/>
          <w:lang w:val="en-US" w:eastAsia="zh-CN"/>
        </w:rPr>
        <w:t>★（二）实行明码标价，优惠公开。维修过程中，如需扩大维修项目增加费用和延长维修时间，及时沟通获得招标方许可后方可予以实施，在与同类企业竞争中，不使用恶意竞价等非正常手段；</w:t>
      </w:r>
    </w:p>
    <w:p w14:paraId="16C68361">
      <w:pPr>
        <w:numPr>
          <w:ilvl w:val="0"/>
          <w:numId w:val="0"/>
        </w:numPr>
        <w:jc w:val="left"/>
        <w:rPr>
          <w:rFonts w:hint="default"/>
          <w:sz w:val="28"/>
          <w:szCs w:val="28"/>
          <w:lang w:val="en-US" w:eastAsia="zh-CN"/>
        </w:rPr>
      </w:pPr>
      <w:r>
        <w:rPr>
          <w:rFonts w:hint="eastAsia"/>
          <w:sz w:val="28"/>
          <w:szCs w:val="28"/>
          <w:lang w:val="en-US" w:eastAsia="zh-CN"/>
        </w:rPr>
        <w:t>★（三）所有配件均要求使用原厂全新配件，不允许使用假冒伪劣产品或以次充好、以旧顶新。如无原厂配件，需使用非原厂配件的，须经招标方许可；配件质保期不低于三个月。</w:t>
      </w:r>
    </w:p>
    <w:p w14:paraId="2F903493">
      <w:pPr>
        <w:numPr>
          <w:ilvl w:val="0"/>
          <w:numId w:val="0"/>
        </w:numPr>
        <w:jc w:val="left"/>
        <w:rPr>
          <w:rFonts w:hint="default"/>
          <w:sz w:val="28"/>
          <w:szCs w:val="28"/>
          <w:lang w:val="en-US" w:eastAsia="zh-CN"/>
        </w:rPr>
      </w:pPr>
      <w:r>
        <w:rPr>
          <w:rFonts w:hint="eastAsia"/>
          <w:sz w:val="28"/>
          <w:szCs w:val="28"/>
          <w:lang w:val="en-US" w:eastAsia="zh-CN"/>
        </w:rPr>
        <w:t>（四）对招标方装备车辆维修实施24小时救援服务。城区范围内1小时内到达（以电话通知时间为准），并建立完整的维修技术档案，实行“一车一档”；</w:t>
      </w:r>
    </w:p>
    <w:p w14:paraId="05DCF593">
      <w:pPr>
        <w:numPr>
          <w:ilvl w:val="0"/>
          <w:numId w:val="0"/>
        </w:numPr>
        <w:jc w:val="left"/>
        <w:rPr>
          <w:rFonts w:hint="default"/>
          <w:sz w:val="28"/>
          <w:szCs w:val="28"/>
          <w:lang w:val="en-US" w:eastAsia="zh-CN"/>
        </w:rPr>
      </w:pPr>
      <w:r>
        <w:rPr>
          <w:rFonts w:hint="eastAsia"/>
          <w:sz w:val="28"/>
          <w:szCs w:val="28"/>
          <w:lang w:val="en-US" w:eastAsia="zh-CN"/>
        </w:rPr>
        <w:t>（五）保证招标方车辆在维修厂期间的安全，否则承担全部责任；</w:t>
      </w:r>
    </w:p>
    <w:p w14:paraId="3759AD4B">
      <w:pPr>
        <w:numPr>
          <w:ilvl w:val="0"/>
          <w:numId w:val="0"/>
        </w:numPr>
        <w:jc w:val="left"/>
        <w:rPr>
          <w:rFonts w:hint="default"/>
          <w:sz w:val="28"/>
          <w:szCs w:val="28"/>
          <w:lang w:val="en-US" w:eastAsia="zh-CN"/>
        </w:rPr>
      </w:pPr>
      <w:r>
        <w:rPr>
          <w:rFonts w:hint="eastAsia"/>
          <w:sz w:val="28"/>
          <w:szCs w:val="28"/>
          <w:lang w:val="en-US" w:eastAsia="zh-CN"/>
        </w:rPr>
        <w:t>（六）实行完备的售后服务。车辆出厂后一月内，发生同样的故障，中标方免费维修；</w:t>
      </w:r>
    </w:p>
    <w:p w14:paraId="3046358B">
      <w:pPr>
        <w:numPr>
          <w:ilvl w:val="0"/>
          <w:numId w:val="0"/>
        </w:numPr>
        <w:jc w:val="left"/>
        <w:rPr>
          <w:rFonts w:hint="default"/>
          <w:sz w:val="28"/>
          <w:szCs w:val="28"/>
          <w:lang w:val="en-US" w:eastAsia="zh-CN"/>
        </w:rPr>
      </w:pPr>
      <w:r>
        <w:rPr>
          <w:rFonts w:hint="eastAsia"/>
          <w:sz w:val="28"/>
          <w:szCs w:val="28"/>
          <w:lang w:val="en-US" w:eastAsia="zh-CN"/>
        </w:rPr>
        <w:t>（七）中标方有义务对招标方单位的驾驶人员进行相关的维修知识讲解和培训；</w:t>
      </w:r>
    </w:p>
    <w:p w14:paraId="4BA3D7D9">
      <w:pPr>
        <w:numPr>
          <w:ilvl w:val="0"/>
          <w:numId w:val="0"/>
        </w:numPr>
        <w:jc w:val="left"/>
        <w:rPr>
          <w:rFonts w:hint="default"/>
          <w:sz w:val="28"/>
          <w:szCs w:val="28"/>
          <w:lang w:val="en-US" w:eastAsia="zh-CN"/>
        </w:rPr>
      </w:pPr>
      <w:r>
        <w:rPr>
          <w:rFonts w:hint="eastAsia"/>
          <w:sz w:val="28"/>
          <w:szCs w:val="28"/>
          <w:lang w:val="en-US" w:eastAsia="zh-CN"/>
        </w:rPr>
        <w:t>（八）中标方非经招标方书面同意不得将送修车辆转送其他企业维修；</w:t>
      </w:r>
    </w:p>
    <w:p w14:paraId="3C3D9972">
      <w:pPr>
        <w:numPr>
          <w:ilvl w:val="0"/>
          <w:numId w:val="0"/>
        </w:numPr>
        <w:jc w:val="left"/>
        <w:rPr>
          <w:rFonts w:hint="default"/>
          <w:sz w:val="28"/>
          <w:szCs w:val="28"/>
          <w:lang w:val="en-US" w:eastAsia="zh-CN"/>
        </w:rPr>
      </w:pPr>
      <w:r>
        <w:rPr>
          <w:rFonts w:hint="eastAsia"/>
          <w:sz w:val="28"/>
          <w:szCs w:val="28"/>
          <w:lang w:val="en-US" w:eastAsia="zh-CN"/>
        </w:rPr>
        <w:t>（九）维修车辆拆换的旧零部件，应根据招标方要求退回招标方处理或交由中标方进行处置；</w:t>
      </w:r>
    </w:p>
    <w:p w14:paraId="65ED5124">
      <w:pPr>
        <w:numPr>
          <w:ilvl w:val="0"/>
          <w:numId w:val="0"/>
        </w:numPr>
        <w:jc w:val="left"/>
        <w:rPr>
          <w:rFonts w:hint="default"/>
          <w:sz w:val="28"/>
          <w:szCs w:val="28"/>
          <w:lang w:val="en-US" w:eastAsia="zh-CN"/>
        </w:rPr>
      </w:pPr>
      <w:r>
        <w:rPr>
          <w:rFonts w:hint="eastAsia"/>
          <w:sz w:val="28"/>
          <w:szCs w:val="28"/>
          <w:lang w:val="en-US" w:eastAsia="zh-CN"/>
        </w:rPr>
        <w:t>（十）中标方严禁以试驾、检验修理质量等各种原因，擅自将招标方车辆驶离修理场所；</w:t>
      </w:r>
    </w:p>
    <w:p w14:paraId="0D902A54">
      <w:pPr>
        <w:numPr>
          <w:ilvl w:val="0"/>
          <w:numId w:val="0"/>
        </w:numPr>
        <w:jc w:val="left"/>
        <w:rPr>
          <w:rFonts w:hint="default"/>
          <w:sz w:val="28"/>
          <w:szCs w:val="28"/>
          <w:lang w:val="en-US" w:eastAsia="zh-CN"/>
        </w:rPr>
      </w:pPr>
      <w:r>
        <w:rPr>
          <w:rFonts w:hint="eastAsia"/>
          <w:sz w:val="28"/>
          <w:szCs w:val="28"/>
          <w:lang w:val="en-US" w:eastAsia="zh-CN"/>
        </w:rPr>
        <w:t>（十一）定点维修机构应自觉接受招标方和有关部门监督检查。</w:t>
      </w:r>
    </w:p>
    <w:p w14:paraId="5522815E">
      <w:pPr>
        <w:numPr>
          <w:ilvl w:val="0"/>
          <w:numId w:val="4"/>
        </w:numPr>
        <w:ind w:left="0" w:leftChars="0" w:firstLine="0" w:firstLineChars="0"/>
        <w:jc w:val="left"/>
        <w:rPr>
          <w:rFonts w:hint="eastAsia"/>
          <w:sz w:val="28"/>
          <w:szCs w:val="28"/>
          <w:lang w:val="en-US" w:eastAsia="zh-CN"/>
        </w:rPr>
      </w:pPr>
      <w:r>
        <w:rPr>
          <w:rFonts w:hint="eastAsia"/>
          <w:sz w:val="28"/>
          <w:szCs w:val="28"/>
          <w:lang w:val="en-US" w:eastAsia="zh-CN"/>
        </w:rPr>
        <w:t>费用支付</w:t>
      </w:r>
    </w:p>
    <w:p w14:paraId="34308CFC">
      <w:pPr>
        <w:numPr>
          <w:ilvl w:val="0"/>
          <w:numId w:val="0"/>
        </w:numPr>
        <w:ind w:leftChars="0"/>
        <w:jc w:val="left"/>
        <w:rPr>
          <w:rFonts w:hint="default"/>
          <w:sz w:val="28"/>
          <w:szCs w:val="28"/>
          <w:lang w:val="en-US" w:eastAsia="zh-CN"/>
        </w:rPr>
      </w:pPr>
      <w:r>
        <w:rPr>
          <w:rFonts w:hint="eastAsia"/>
          <w:sz w:val="28"/>
          <w:szCs w:val="28"/>
          <w:lang w:val="en-US" w:eastAsia="zh-CN"/>
        </w:rPr>
        <w:t>由中标方与招标方共同核对维修清单，确定维修清单所报维修价格、配件名称、维修时间等项目。</w:t>
      </w:r>
    </w:p>
    <w:p w14:paraId="5AB09475">
      <w:pPr>
        <w:numPr>
          <w:ilvl w:val="0"/>
          <w:numId w:val="6"/>
        </w:numPr>
        <w:ind w:leftChars="0"/>
        <w:jc w:val="left"/>
        <w:rPr>
          <w:rFonts w:hint="default"/>
          <w:sz w:val="28"/>
          <w:szCs w:val="28"/>
          <w:lang w:val="en-US" w:eastAsia="zh-CN"/>
        </w:rPr>
      </w:pPr>
      <w:r>
        <w:rPr>
          <w:rFonts w:hint="eastAsia"/>
          <w:sz w:val="28"/>
          <w:szCs w:val="28"/>
          <w:lang w:val="en-US" w:eastAsia="zh-CN"/>
        </w:rPr>
        <w:t>每次车辆维修完成后，中标方必须提供《维修费用结算清单》及招标方开具的《派修单》，由招标方车辆维修管理部门对修理项目和价格进行审核，审核无误后后，按程序办理支付手续。中标方出具据上述单据、结算清单不齐全，招标方有权拒付。</w:t>
      </w:r>
    </w:p>
    <w:p w14:paraId="357D31FF">
      <w:pPr>
        <w:numPr>
          <w:ilvl w:val="0"/>
          <w:numId w:val="6"/>
        </w:numPr>
        <w:ind w:leftChars="0"/>
        <w:jc w:val="left"/>
        <w:rPr>
          <w:rFonts w:hint="default"/>
          <w:sz w:val="28"/>
          <w:szCs w:val="28"/>
          <w:lang w:val="en-US" w:eastAsia="zh-CN"/>
        </w:rPr>
      </w:pPr>
      <w:r>
        <w:rPr>
          <w:rFonts w:hint="eastAsia"/>
          <w:sz w:val="28"/>
          <w:szCs w:val="28"/>
          <w:lang w:val="en-US" w:eastAsia="zh-CN"/>
        </w:rPr>
        <w:t>车辆维修费用结算一律采用银行转账方式办理，不得使用现金；维修费按月结算，统一开具正规发票，下附《车辆维修总表》、每一台车的《派修单》和《维修费用清单》。</w:t>
      </w:r>
    </w:p>
    <w:p w14:paraId="2F3E08AC">
      <w:pPr>
        <w:numPr>
          <w:ilvl w:val="0"/>
          <w:numId w:val="6"/>
        </w:numPr>
        <w:ind w:leftChars="0"/>
        <w:jc w:val="left"/>
        <w:rPr>
          <w:rFonts w:hint="default"/>
          <w:sz w:val="28"/>
          <w:szCs w:val="28"/>
          <w:lang w:val="en-US" w:eastAsia="zh-CN"/>
        </w:rPr>
      </w:pPr>
      <w:r>
        <w:rPr>
          <w:rFonts w:hint="eastAsia"/>
          <w:sz w:val="28"/>
          <w:szCs w:val="28"/>
          <w:lang w:val="en-US" w:eastAsia="zh-CN"/>
        </w:rPr>
        <w:t>发生事故车辆的维修费用，根据交警部门认定结果，除去保险公司应负责的理赔金额后按本项目规定价格计算办法进行结算。</w:t>
      </w:r>
    </w:p>
    <w:p w14:paraId="2563471F">
      <w:pPr>
        <w:numPr>
          <w:ilvl w:val="0"/>
          <w:numId w:val="6"/>
        </w:numPr>
        <w:ind w:leftChars="0"/>
        <w:jc w:val="left"/>
        <w:rPr>
          <w:rFonts w:hint="default"/>
          <w:sz w:val="28"/>
          <w:szCs w:val="28"/>
          <w:lang w:val="en-US" w:eastAsia="zh-CN"/>
        </w:rPr>
      </w:pPr>
      <w:r>
        <w:rPr>
          <w:rFonts w:hint="eastAsia"/>
          <w:sz w:val="28"/>
          <w:szCs w:val="28"/>
          <w:lang w:val="en-US" w:eastAsia="zh-CN"/>
        </w:rPr>
        <w:t>所有维修费用年底结算不得超过中标金额。</w:t>
      </w:r>
    </w:p>
    <w:p w14:paraId="0599E9EB">
      <w:pPr>
        <w:numPr>
          <w:ilvl w:val="0"/>
          <w:numId w:val="0"/>
        </w:numPr>
        <w:jc w:val="left"/>
        <w:rPr>
          <w:rFonts w:hint="default"/>
          <w:sz w:val="28"/>
          <w:szCs w:val="28"/>
          <w:lang w:val="en-US" w:eastAsia="zh-CN"/>
        </w:rPr>
      </w:pPr>
      <w:r>
        <w:rPr>
          <w:rFonts w:hint="eastAsia"/>
          <w:sz w:val="28"/>
          <w:szCs w:val="28"/>
          <w:lang w:val="en-US" w:eastAsia="zh-CN"/>
        </w:rPr>
        <w:t>（五）报价特别说明</w:t>
      </w:r>
    </w:p>
    <w:p w14:paraId="58582FAC">
      <w:pPr>
        <w:numPr>
          <w:ilvl w:val="0"/>
          <w:numId w:val="7"/>
        </w:numPr>
        <w:jc w:val="left"/>
        <w:rPr>
          <w:rFonts w:hint="eastAsia"/>
          <w:sz w:val="28"/>
          <w:szCs w:val="28"/>
          <w:lang w:val="en-US" w:eastAsia="zh-CN"/>
        </w:rPr>
      </w:pPr>
      <w:r>
        <w:rPr>
          <w:rFonts w:hint="eastAsia"/>
          <w:sz w:val="28"/>
          <w:szCs w:val="28"/>
          <w:lang w:val="en-US" w:eastAsia="zh-CN"/>
        </w:rPr>
        <w:t>本项目维修费用由工时费和配件费构成。</w:t>
      </w:r>
    </w:p>
    <w:p w14:paraId="15099DF8">
      <w:pPr>
        <w:numPr>
          <w:ilvl w:val="0"/>
          <w:numId w:val="7"/>
        </w:numPr>
        <w:jc w:val="left"/>
        <w:rPr>
          <w:rFonts w:hint="default"/>
          <w:sz w:val="28"/>
          <w:szCs w:val="28"/>
          <w:lang w:val="en-US" w:eastAsia="zh-CN"/>
        </w:rPr>
      </w:pPr>
      <w:r>
        <w:rPr>
          <w:rFonts w:hint="eastAsia"/>
          <w:sz w:val="28"/>
          <w:szCs w:val="28"/>
          <w:lang w:val="en-US" w:eastAsia="zh-CN"/>
        </w:rPr>
        <w:t>维修保养工时费：参照同品牌车辆郑州4S店价格，报折扣率（不高于70</w:t>
      </w:r>
      <w:r>
        <w:rPr>
          <w:rFonts w:hint="eastAsia" w:ascii="宋体" w:hAnsi="宋体" w:eastAsia="宋体" w:cs="宋体"/>
          <w:sz w:val="28"/>
          <w:szCs w:val="28"/>
          <w:lang w:val="en-US" w:eastAsia="zh-CN"/>
        </w:rPr>
        <w:t>％</w:t>
      </w:r>
      <w:r>
        <w:rPr>
          <w:rFonts w:hint="eastAsia"/>
          <w:sz w:val="28"/>
          <w:szCs w:val="28"/>
          <w:lang w:val="en-US" w:eastAsia="zh-CN"/>
        </w:rPr>
        <w:t>）。如：按同品牌车辆郑州4S店价格X</w:t>
      </w:r>
      <w:r>
        <w:rPr>
          <w:rFonts w:hint="eastAsia" w:ascii="宋体" w:hAnsi="宋体" w:eastAsia="宋体" w:cs="宋体"/>
          <w:sz w:val="28"/>
          <w:szCs w:val="28"/>
          <w:lang w:val="en-US" w:eastAsia="zh-CN"/>
        </w:rPr>
        <w:t>％执行。</w:t>
      </w:r>
    </w:p>
    <w:p w14:paraId="082D149A">
      <w:pPr>
        <w:numPr>
          <w:ilvl w:val="0"/>
          <w:numId w:val="7"/>
        </w:numPr>
        <w:jc w:val="lef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配件费：供应商参考同品牌车辆正厂配件郑州4S店价格（折扣率不高于70％），报折扣率，如：按同品牌车辆郑州4S店价格X％执行。</w:t>
      </w:r>
    </w:p>
    <w:p w14:paraId="6AAD331F">
      <w:pPr>
        <w:pStyle w:val="3"/>
        <w:numPr>
          <w:ilvl w:val="0"/>
          <w:numId w:val="0"/>
        </w:numPr>
        <w:ind w:leftChars="0"/>
        <w:rPr>
          <w:rFonts w:hint="default" w:ascii="宋体" w:hAnsi="宋体" w:eastAsia="宋体" w:cs="宋体"/>
          <w:sz w:val="28"/>
          <w:szCs w:val="28"/>
          <w:lang w:val="en-US" w:eastAsia="zh-CN"/>
        </w:rPr>
      </w:pPr>
      <w:r>
        <w:rPr>
          <w:rFonts w:hint="eastAsia" w:ascii="宋体" w:hAnsi="宋体" w:cs="宋体"/>
          <w:sz w:val="28"/>
          <w:szCs w:val="28"/>
          <w:lang w:val="en-US" w:eastAsia="zh-CN"/>
        </w:rPr>
        <w:t>五、技术要求：</w:t>
      </w:r>
    </w:p>
    <w:p w14:paraId="46E9C24B">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、服务范围：</w:t>
      </w:r>
      <w:r>
        <w:rPr>
          <w:rFonts w:hint="eastAsia" w:ascii="宋体" w:hAnsi="宋体" w:eastAsia="宋体" w:cs="宋体"/>
          <w:sz w:val="28"/>
          <w:szCs w:val="28"/>
          <w:lang w:val="en-US" w:eastAsia="zh-CN"/>
        </w:rPr>
        <w:t>由上述服务车辆清单内车辆的</w:t>
      </w:r>
      <w:r>
        <w:rPr>
          <w:rFonts w:hint="eastAsia" w:ascii="宋体" w:hAnsi="宋体" w:eastAsia="宋体" w:cs="宋体"/>
          <w:sz w:val="28"/>
          <w:szCs w:val="28"/>
        </w:rPr>
        <w:t>定期维护保养，各种常规大修、小修、道路救援及其车辆年检等其他有关车辆的服务项目。</w:t>
      </w:r>
    </w:p>
    <w:p w14:paraId="01450EA5">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、相关要求：</w:t>
      </w:r>
    </w:p>
    <w:p w14:paraId="2F8C3C91">
      <w:pPr>
        <w:ind w:firstLine="548" w:firstLineChars="196"/>
        <w:rPr>
          <w:rFonts w:hint="eastAsia" w:ascii="宋体" w:hAnsi="宋体" w:eastAsia="宋体" w:cs="宋体"/>
          <w:sz w:val="28"/>
          <w:szCs w:val="28"/>
          <w:highlight w:val="yellow"/>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1.应具备《中华人民共和国</w:t>
      </w:r>
      <w:r>
        <w:rPr>
          <w:rFonts w:hint="eastAsia" w:ascii="宋体" w:hAnsi="宋体" w:eastAsia="宋体" w:cs="宋体"/>
          <w:sz w:val="28"/>
          <w:szCs w:val="28"/>
          <w:highlight w:val="none"/>
          <w:lang w:val="en-US" w:eastAsia="zh-CN"/>
        </w:rPr>
        <w:t>郑州</w:t>
      </w:r>
      <w:r>
        <w:rPr>
          <w:rFonts w:hint="eastAsia" w:ascii="宋体" w:hAnsi="宋体" w:eastAsia="宋体" w:cs="宋体"/>
          <w:sz w:val="28"/>
          <w:szCs w:val="28"/>
          <w:highlight w:val="none"/>
        </w:rPr>
        <w:t>市道路交通运输局》颁发的二类以上大中型客车维修资质。</w:t>
      </w:r>
    </w:p>
    <w:p w14:paraId="4EC9CA94">
      <w:pPr>
        <w:ind w:firstLine="548" w:firstLineChars="196"/>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2.2.</w:t>
      </w:r>
      <w:r>
        <w:rPr>
          <w:rFonts w:hint="eastAsia" w:ascii="宋体" w:hAnsi="宋体" w:eastAsia="宋体" w:cs="宋体"/>
          <w:sz w:val="28"/>
          <w:szCs w:val="28"/>
          <w:highlight w:val="none"/>
        </w:rPr>
        <w:t>具备新能源汽车维修能力</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维修人员应具备（国家安全生产监督管理局）颁发的《低压电工证》。</w:t>
      </w:r>
    </w:p>
    <w:p w14:paraId="02AC255F">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2.3.</w:t>
      </w:r>
      <w:r>
        <w:rPr>
          <w:rFonts w:hint="eastAsia" w:ascii="宋体" w:hAnsi="宋体" w:eastAsia="宋体" w:cs="宋体"/>
          <w:sz w:val="28"/>
          <w:szCs w:val="28"/>
        </w:rPr>
        <w:t>小修一、二级保养做到24小时出厂；发动机三级保养36小时出厂；发动机大修3天出厂；全车大修按约定时间出厂。</w:t>
      </w:r>
    </w:p>
    <w:p w14:paraId="242AB7E3">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2.4.</w:t>
      </w:r>
      <w:r>
        <w:rPr>
          <w:rFonts w:hint="eastAsia" w:ascii="宋体" w:hAnsi="宋体" w:eastAsia="宋体" w:cs="宋体"/>
          <w:sz w:val="28"/>
          <w:szCs w:val="28"/>
        </w:rPr>
        <w:t>按照河南省维修行业有关技术规范规定为甲方维修送修车辆，并对车辆维修质量实行三包，大修保三个月、小修保一个月；在质保期内再次发生故障，由维修厂家免费返修，直至符合标准。各种维修保养工时费不高于同类车型行业统一标准。</w:t>
      </w:r>
    </w:p>
    <w:p w14:paraId="64861339">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2.5.</w:t>
      </w:r>
      <w:r>
        <w:rPr>
          <w:rFonts w:hint="eastAsia" w:ascii="宋体" w:hAnsi="宋体" w:eastAsia="宋体" w:cs="宋体"/>
          <w:sz w:val="28"/>
          <w:szCs w:val="28"/>
        </w:rPr>
        <w:t>车辆维修确需更换配件的，需使用原厂生产正规配件，不能以次充好；坚决杜绝不良维修做法，以更换配件替代维修；发现不良行为造成公司财物损失的，按配件价格300%处罚，并取消合作资格。</w:t>
      </w:r>
    </w:p>
    <w:p w14:paraId="2DD48758">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2.6.</w:t>
      </w:r>
      <w:r>
        <w:rPr>
          <w:rFonts w:hint="eastAsia" w:ascii="宋体" w:hAnsi="宋体" w:eastAsia="宋体" w:cs="宋体"/>
          <w:sz w:val="28"/>
          <w:szCs w:val="28"/>
        </w:rPr>
        <w:t>需提供24小时服务，车辆随到随修；道路救援确保第一时间到达需救援车辆现场并予以故障排除，确保业务正常运行；市区范围内提供免费救援，市区以外救援每公里单价不得超过行业市场价。</w:t>
      </w:r>
    </w:p>
    <w:p w14:paraId="4E453B43">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、车辆小修作业项目</w:t>
      </w:r>
    </w:p>
    <w:p w14:paraId="30A3510C">
      <w:pPr>
        <w:ind w:firstLine="548" w:firstLineChars="196"/>
        <w:rPr>
          <w:rFonts w:hint="eastAsia" w:ascii="宋体" w:hAnsi="宋体" w:eastAsia="宋体" w:cs="宋体"/>
          <w:sz w:val="28"/>
          <w:szCs w:val="28"/>
        </w:rPr>
      </w:pPr>
      <w:r>
        <w:rPr>
          <w:rFonts w:hint="eastAsia" w:ascii="宋体" w:hAnsi="宋体" w:eastAsia="宋体" w:cs="宋体"/>
          <w:sz w:val="28"/>
          <w:szCs w:val="28"/>
        </w:rPr>
        <w:t>车辆小修的主要内容：从事汽车故障诊断和通过修理或更换个别零部件，消除车辆在运行过程或维护过程中发生或发现的故障或隐患，恢复汽车工作能力的维修项目。</w:t>
      </w:r>
    </w:p>
    <w:p w14:paraId="7C6A27A7">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A.</w:t>
      </w:r>
      <w:r>
        <w:rPr>
          <w:rFonts w:hint="eastAsia" w:ascii="宋体" w:hAnsi="宋体" w:eastAsia="宋体" w:cs="宋体"/>
          <w:sz w:val="28"/>
          <w:szCs w:val="28"/>
        </w:rPr>
        <w:t>一级保养作业项目</w:t>
      </w:r>
    </w:p>
    <w:p w14:paraId="6636A9BD">
      <w:pPr>
        <w:ind w:firstLine="548" w:firstLineChars="196"/>
        <w:rPr>
          <w:rFonts w:hint="eastAsia" w:ascii="宋体" w:hAnsi="宋体" w:eastAsia="宋体" w:cs="宋体"/>
          <w:sz w:val="28"/>
          <w:szCs w:val="28"/>
        </w:rPr>
      </w:pPr>
      <w:r>
        <w:rPr>
          <w:rFonts w:hint="eastAsia" w:ascii="宋体" w:hAnsi="宋体" w:eastAsia="宋体" w:cs="宋体"/>
          <w:sz w:val="28"/>
          <w:szCs w:val="28"/>
        </w:rPr>
        <w:t>主要以紧固、润滑为主。其中要内容为：检查、紧固汽车外露部松动的螺栓、螺母，按润滑表现规定的润滑部位加润滑脂和添加各总成内的润滑油，清洗各滤清器。</w:t>
      </w:r>
    </w:p>
    <w:p w14:paraId="7C0D1934">
      <w:pPr>
        <w:ind w:firstLine="548" w:firstLineChars="196"/>
        <w:rPr>
          <w:rFonts w:hint="eastAsia" w:ascii="宋体" w:hAnsi="宋体" w:eastAsia="宋体" w:cs="宋体"/>
          <w:sz w:val="28"/>
          <w:szCs w:val="28"/>
        </w:rPr>
      </w:pPr>
      <w:r>
        <w:rPr>
          <w:rFonts w:hint="eastAsia" w:ascii="宋体" w:hAnsi="宋体" w:eastAsia="宋体" w:cs="宋体"/>
          <w:sz w:val="28"/>
          <w:szCs w:val="28"/>
        </w:rPr>
        <w:t>1.在驾驶员做好例行保养的基础上，进行一级保养。一级保养作业前，应将汽车冲洗干净，发动机和底盘擦拭后应无油垢、泥垢。</w:t>
      </w:r>
    </w:p>
    <w:p w14:paraId="7853014C">
      <w:pPr>
        <w:ind w:firstLine="548" w:firstLineChars="196"/>
        <w:rPr>
          <w:rFonts w:hint="eastAsia" w:ascii="宋体" w:hAnsi="宋体" w:eastAsia="宋体" w:cs="宋体"/>
          <w:sz w:val="28"/>
          <w:szCs w:val="28"/>
        </w:rPr>
      </w:pPr>
      <w:r>
        <w:rPr>
          <w:rFonts w:hint="eastAsia" w:ascii="宋体" w:hAnsi="宋体" w:eastAsia="宋体" w:cs="宋体"/>
          <w:sz w:val="28"/>
          <w:szCs w:val="28"/>
        </w:rPr>
        <w:t>2.清洗发动机机油、汽油（或柴油）、空气滤</w:t>
      </w:r>
      <w:r>
        <w:rPr>
          <w:rFonts w:hint="eastAsia" w:ascii="宋体" w:hAnsi="宋体" w:eastAsia="宋体" w:cs="宋体"/>
          <w:sz w:val="28"/>
          <w:szCs w:val="28"/>
          <w:lang w:val="en-US" w:eastAsia="zh-CN"/>
        </w:rPr>
        <w:t>清</w:t>
      </w:r>
      <w:r>
        <w:rPr>
          <w:rFonts w:hint="eastAsia" w:ascii="宋体" w:hAnsi="宋体" w:eastAsia="宋体" w:cs="宋体"/>
          <w:sz w:val="28"/>
          <w:szCs w:val="28"/>
        </w:rPr>
        <w:t>器，清除或排除各滤清器中的沉积物，排除贮器筒内的油污。</w:t>
      </w:r>
    </w:p>
    <w:p w14:paraId="75CEDB86">
      <w:pPr>
        <w:ind w:firstLine="548" w:firstLineChars="196"/>
        <w:rPr>
          <w:rFonts w:hint="eastAsia" w:ascii="宋体" w:hAnsi="宋体" w:eastAsia="宋体" w:cs="宋体"/>
          <w:sz w:val="28"/>
          <w:szCs w:val="28"/>
        </w:rPr>
      </w:pPr>
      <w:r>
        <w:rPr>
          <w:rFonts w:hint="eastAsia" w:ascii="宋体" w:hAnsi="宋体" w:eastAsia="宋体" w:cs="宋体"/>
          <w:sz w:val="28"/>
          <w:szCs w:val="28"/>
        </w:rPr>
        <w:t>3.检查并向发动机油盘、变速器、后桥、转向机添加润滑油、使其润滑油面至标准部位。</w:t>
      </w:r>
    </w:p>
    <w:p w14:paraId="5C24895D">
      <w:pPr>
        <w:ind w:firstLine="548" w:firstLineChars="196"/>
        <w:rPr>
          <w:rFonts w:hint="eastAsia" w:ascii="宋体" w:hAnsi="宋体" w:eastAsia="宋体" w:cs="宋体"/>
          <w:sz w:val="28"/>
          <w:szCs w:val="28"/>
        </w:rPr>
      </w:pPr>
      <w:r>
        <w:rPr>
          <w:rFonts w:hint="eastAsia" w:ascii="宋体" w:hAnsi="宋体" w:eastAsia="宋体" w:cs="宋体"/>
          <w:sz w:val="28"/>
          <w:szCs w:val="28"/>
        </w:rPr>
        <w:t>4.润滑水泵、分电器、转向拉杆球头销、离合器踏板支架销、转动轴、前后钢板弹簧销及车门等各润滑部位（按各车使用说明书规定的润滑点进行润滑），并配齐各润滑点的油嘴。</w:t>
      </w:r>
    </w:p>
    <w:p w14:paraId="49E4D34F">
      <w:pPr>
        <w:ind w:firstLine="548" w:firstLineChars="196"/>
        <w:rPr>
          <w:rFonts w:hint="eastAsia" w:ascii="宋体" w:hAnsi="宋体" w:eastAsia="宋体" w:cs="宋体"/>
          <w:sz w:val="28"/>
          <w:szCs w:val="28"/>
        </w:rPr>
      </w:pPr>
      <w:r>
        <w:rPr>
          <w:rFonts w:hint="eastAsia" w:ascii="宋体" w:hAnsi="宋体" w:eastAsia="宋体" w:cs="宋体"/>
          <w:sz w:val="28"/>
          <w:szCs w:val="28"/>
        </w:rPr>
        <w:t>5.检查并紧固发动机、底盘、车身外部的连接螺栓与螺母，各锁紧装置应按规定的规格数量配备齐全，紧固可靠。</w:t>
      </w:r>
    </w:p>
    <w:p w14:paraId="1D3C9A06">
      <w:pPr>
        <w:ind w:firstLine="548" w:firstLineChars="196"/>
        <w:rPr>
          <w:rFonts w:hint="eastAsia" w:ascii="宋体" w:hAnsi="宋体" w:eastAsia="宋体" w:cs="宋体"/>
          <w:sz w:val="28"/>
          <w:szCs w:val="28"/>
        </w:rPr>
      </w:pPr>
      <w:r>
        <w:rPr>
          <w:rFonts w:hint="eastAsia" w:ascii="宋体" w:hAnsi="宋体" w:eastAsia="宋体" w:cs="宋体"/>
          <w:sz w:val="28"/>
          <w:szCs w:val="28"/>
        </w:rPr>
        <w:t>6.检查并调整空气压缩机、发电机等各传动带的松紧度。</w:t>
      </w:r>
    </w:p>
    <w:p w14:paraId="31C01B40">
      <w:pPr>
        <w:ind w:firstLine="548" w:firstLineChars="196"/>
        <w:rPr>
          <w:rFonts w:hint="eastAsia" w:ascii="宋体" w:hAnsi="宋体" w:eastAsia="宋体" w:cs="宋体"/>
          <w:sz w:val="28"/>
          <w:szCs w:val="28"/>
        </w:rPr>
      </w:pPr>
      <w:r>
        <w:rPr>
          <w:rFonts w:hint="eastAsia" w:ascii="宋体" w:hAnsi="宋体" w:eastAsia="宋体" w:cs="宋体"/>
          <w:sz w:val="28"/>
          <w:szCs w:val="28"/>
        </w:rPr>
        <w:t>7.检查和调整踏板的自由形成、方向盘的游隙以及前轮轴承、转向节；检查调整拉杆的连接情况，前轮的侧滑量和汽车的制动性能。</w:t>
      </w:r>
    </w:p>
    <w:p w14:paraId="20628D04">
      <w:pPr>
        <w:ind w:firstLine="548" w:firstLineChars="196"/>
        <w:rPr>
          <w:rFonts w:hint="eastAsia" w:ascii="宋体" w:hAnsi="宋体" w:eastAsia="宋体" w:cs="宋体"/>
          <w:sz w:val="28"/>
          <w:szCs w:val="28"/>
        </w:rPr>
      </w:pPr>
      <w:r>
        <w:rPr>
          <w:rFonts w:hint="eastAsia" w:ascii="宋体" w:hAnsi="宋体" w:eastAsia="宋体" w:cs="宋体"/>
          <w:sz w:val="28"/>
          <w:szCs w:val="28"/>
        </w:rPr>
        <w:t>8.检查并紧固前后板弹簧U型螺栓、变速器、传动轴、主减速器及半轴各连接螺栓。</w:t>
      </w:r>
    </w:p>
    <w:p w14:paraId="63C22C62">
      <w:pPr>
        <w:ind w:firstLine="548" w:firstLineChars="196"/>
        <w:rPr>
          <w:rFonts w:hint="eastAsia" w:ascii="宋体" w:hAnsi="宋体" w:eastAsia="宋体" w:cs="宋体"/>
          <w:sz w:val="28"/>
          <w:szCs w:val="28"/>
        </w:rPr>
      </w:pPr>
      <w:r>
        <w:rPr>
          <w:rFonts w:hint="eastAsia" w:ascii="宋体" w:hAnsi="宋体" w:eastAsia="宋体" w:cs="宋体"/>
          <w:sz w:val="28"/>
          <w:szCs w:val="28"/>
        </w:rPr>
        <w:t>9.检查发动机罩、散热器拉杆和百叶窗操纵机构、驾驶室或客车门窗座椅。</w:t>
      </w:r>
    </w:p>
    <w:p w14:paraId="34B0A63E">
      <w:pPr>
        <w:ind w:firstLine="548" w:firstLineChars="196"/>
        <w:rPr>
          <w:rFonts w:hint="eastAsia" w:ascii="宋体" w:hAnsi="宋体" w:eastAsia="宋体" w:cs="宋体"/>
          <w:sz w:val="28"/>
          <w:szCs w:val="28"/>
        </w:rPr>
      </w:pPr>
      <w:r>
        <w:rPr>
          <w:rFonts w:hint="eastAsia" w:ascii="宋体" w:hAnsi="宋体" w:eastAsia="宋体" w:cs="宋体"/>
          <w:sz w:val="28"/>
          <w:szCs w:val="28"/>
        </w:rPr>
        <w:t>10.检查轮胎外表、轮胎气压并充气。</w:t>
      </w:r>
    </w:p>
    <w:p w14:paraId="71956C0B">
      <w:pPr>
        <w:ind w:firstLine="548" w:firstLineChars="196"/>
        <w:rPr>
          <w:rFonts w:hint="eastAsia" w:ascii="宋体" w:hAnsi="宋体" w:eastAsia="宋体" w:cs="宋体"/>
          <w:sz w:val="28"/>
          <w:szCs w:val="28"/>
        </w:rPr>
      </w:pPr>
      <w:r>
        <w:rPr>
          <w:rFonts w:hint="eastAsia" w:ascii="宋体" w:hAnsi="宋体" w:eastAsia="宋体" w:cs="宋体"/>
          <w:sz w:val="28"/>
          <w:szCs w:val="28"/>
        </w:rPr>
        <w:t>11.检查电器系统，如发电机、起动机及各种仪表工作是否正常；检查蓄电池液面高度和外壳是否渗漏，气孔是否通畅等。电解液应高出极板10~15mm，蓄电池加注孔螺塞应齐全。</w:t>
      </w:r>
    </w:p>
    <w:p w14:paraId="0F62061E">
      <w:pPr>
        <w:ind w:firstLine="548" w:firstLineChars="196"/>
        <w:rPr>
          <w:rFonts w:hint="eastAsia" w:ascii="宋体" w:hAnsi="宋体" w:eastAsia="宋体" w:cs="宋体"/>
          <w:sz w:val="28"/>
          <w:szCs w:val="28"/>
        </w:rPr>
      </w:pPr>
      <w:r>
        <w:rPr>
          <w:rFonts w:hint="eastAsia" w:ascii="宋体" w:hAnsi="宋体" w:eastAsia="宋体" w:cs="宋体"/>
          <w:sz w:val="28"/>
          <w:szCs w:val="28"/>
        </w:rPr>
        <w:t>12.检查备胎升降器及备胎的固定情况，润滑备胎升降器各部位。</w:t>
      </w:r>
    </w:p>
    <w:p w14:paraId="33728043">
      <w:pPr>
        <w:ind w:firstLine="548" w:firstLineChars="196"/>
        <w:rPr>
          <w:rFonts w:hint="eastAsia" w:ascii="宋体" w:hAnsi="宋体" w:eastAsia="宋体" w:cs="宋体"/>
          <w:sz w:val="28"/>
          <w:szCs w:val="28"/>
        </w:rPr>
      </w:pPr>
      <w:r>
        <w:rPr>
          <w:rFonts w:hint="eastAsia" w:ascii="宋体" w:hAnsi="宋体" w:eastAsia="宋体" w:cs="宋体"/>
          <w:sz w:val="28"/>
          <w:szCs w:val="28"/>
        </w:rPr>
        <w:t>13.消除检查中发现的故障和缺陷。 经一级保养后，汽车应达到车容整洁、连接可靠，各滤清器应清洁畅通，各部应不漏油、水、气、电，各润滑部位应得到充分润滑。</w:t>
      </w:r>
    </w:p>
    <w:p w14:paraId="249A5F95">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B.</w:t>
      </w:r>
      <w:r>
        <w:rPr>
          <w:rFonts w:hint="eastAsia" w:ascii="宋体" w:hAnsi="宋体" w:eastAsia="宋体" w:cs="宋体"/>
          <w:sz w:val="28"/>
          <w:szCs w:val="28"/>
        </w:rPr>
        <w:t xml:space="preserve"> 二级保养作业项目</w:t>
      </w:r>
    </w:p>
    <w:p w14:paraId="171D6786">
      <w:pPr>
        <w:ind w:firstLine="548" w:firstLineChars="196"/>
        <w:rPr>
          <w:rFonts w:hint="eastAsia" w:ascii="宋体" w:hAnsi="宋体" w:eastAsia="宋体" w:cs="宋体"/>
          <w:sz w:val="28"/>
          <w:szCs w:val="28"/>
        </w:rPr>
      </w:pPr>
      <w:r>
        <w:rPr>
          <w:rFonts w:hint="eastAsia" w:ascii="宋体" w:hAnsi="宋体" w:eastAsia="宋体" w:cs="宋体"/>
          <w:sz w:val="28"/>
          <w:szCs w:val="28"/>
        </w:rPr>
        <w:t>二级保养以检查、调整为中心，对行驶一定里程的车辆进行一次较深入的技术状况检查和调整，其目的是为了保持车辆在以后较长时间内，能保持良好的运行性能。二级保养的作业较多，除进行一级保养的全部工作外，还必须消除一些保养工作中发现的故障和隐患，保养的时间较长，一般由保养工人实施。 进行二级保养前，驾驶员应将本车运行中的不良技术情况提供给执行保养的保养工人，以提高保养质量。驾驶员也应了解二级保养的主要内容，以 便对保养的质量有所掌握。</w:t>
      </w:r>
    </w:p>
    <w:p w14:paraId="2E2F03EE">
      <w:pPr>
        <w:ind w:firstLine="548" w:firstLineChars="196"/>
        <w:rPr>
          <w:rFonts w:hint="eastAsia" w:ascii="宋体" w:hAnsi="宋体" w:eastAsia="宋体" w:cs="宋体"/>
          <w:sz w:val="28"/>
          <w:szCs w:val="28"/>
        </w:rPr>
      </w:pPr>
      <w:r>
        <w:rPr>
          <w:rFonts w:hint="eastAsia" w:ascii="宋体" w:hAnsi="宋体" w:eastAsia="宋体" w:cs="宋体"/>
          <w:sz w:val="28"/>
          <w:szCs w:val="28"/>
        </w:rPr>
        <w:t>1.执行一级保养的全部内容。</w:t>
      </w:r>
    </w:p>
    <w:p w14:paraId="59E0EAE7">
      <w:pPr>
        <w:ind w:firstLine="548" w:firstLineChars="196"/>
        <w:rPr>
          <w:rFonts w:hint="eastAsia" w:ascii="宋体" w:hAnsi="宋体" w:eastAsia="宋体" w:cs="宋体"/>
          <w:sz w:val="28"/>
          <w:szCs w:val="28"/>
        </w:rPr>
      </w:pPr>
      <w:r>
        <w:rPr>
          <w:rFonts w:hint="eastAsia" w:ascii="宋体" w:hAnsi="宋体" w:eastAsia="宋体" w:cs="宋体"/>
          <w:sz w:val="28"/>
          <w:szCs w:val="28"/>
        </w:rPr>
        <w:t>2.测量发动机的气缸压力，调整气门间隙。</w:t>
      </w:r>
    </w:p>
    <w:p w14:paraId="064FD539">
      <w:pPr>
        <w:ind w:firstLine="548" w:firstLineChars="196"/>
        <w:rPr>
          <w:rFonts w:hint="eastAsia" w:ascii="宋体" w:hAnsi="宋体" w:eastAsia="宋体" w:cs="宋体"/>
          <w:sz w:val="28"/>
          <w:szCs w:val="28"/>
        </w:rPr>
      </w:pPr>
      <w:r>
        <w:rPr>
          <w:rFonts w:hint="eastAsia" w:ascii="宋体" w:hAnsi="宋体" w:eastAsia="宋体" w:cs="宋体"/>
          <w:sz w:val="28"/>
          <w:szCs w:val="28"/>
        </w:rPr>
        <w:t>3.清洗各滤清器、机油盘、集滤器浮自总成等。</w:t>
      </w:r>
    </w:p>
    <w:p w14:paraId="08ABA195">
      <w:pPr>
        <w:ind w:firstLine="548" w:firstLineChars="196"/>
        <w:rPr>
          <w:rFonts w:hint="eastAsia" w:ascii="宋体" w:hAnsi="宋体" w:eastAsia="宋体" w:cs="宋体"/>
          <w:sz w:val="28"/>
          <w:szCs w:val="28"/>
        </w:rPr>
      </w:pPr>
      <w:r>
        <w:rPr>
          <w:rFonts w:hint="eastAsia" w:ascii="宋体" w:hAnsi="宋体" w:eastAsia="宋体" w:cs="宋体"/>
          <w:sz w:val="28"/>
          <w:szCs w:val="28"/>
        </w:rPr>
        <w:t>4.检查调整连杆轴承磨损情况及间隙。</w:t>
      </w:r>
    </w:p>
    <w:p w14:paraId="0169C1BF">
      <w:pPr>
        <w:ind w:firstLine="548" w:firstLineChars="196"/>
        <w:rPr>
          <w:rFonts w:hint="eastAsia" w:ascii="宋体" w:hAnsi="宋体" w:eastAsia="宋体" w:cs="宋体"/>
          <w:sz w:val="28"/>
          <w:szCs w:val="28"/>
        </w:rPr>
      </w:pPr>
      <w:r>
        <w:rPr>
          <w:rFonts w:hint="eastAsia" w:ascii="宋体" w:hAnsi="宋体" w:eastAsia="宋体" w:cs="宋体"/>
          <w:sz w:val="28"/>
          <w:szCs w:val="28"/>
        </w:rPr>
        <w:t>5.检查并紧固发动机前后支架螺栓。</w:t>
      </w:r>
    </w:p>
    <w:p w14:paraId="23D47682">
      <w:pPr>
        <w:ind w:firstLine="548" w:firstLineChars="196"/>
        <w:rPr>
          <w:rFonts w:hint="eastAsia" w:ascii="宋体" w:hAnsi="宋体" w:eastAsia="宋体" w:cs="宋体"/>
          <w:sz w:val="28"/>
          <w:szCs w:val="28"/>
        </w:rPr>
      </w:pPr>
      <w:r>
        <w:rPr>
          <w:rFonts w:hint="eastAsia" w:ascii="宋体" w:hAnsi="宋体" w:eastAsia="宋体" w:cs="宋体"/>
          <w:sz w:val="28"/>
          <w:szCs w:val="28"/>
        </w:rPr>
        <w:t>6.检查调整制动器，进行轮胎换位。</w:t>
      </w:r>
    </w:p>
    <w:p w14:paraId="28CA0A0F">
      <w:pPr>
        <w:ind w:firstLine="548" w:firstLineChars="196"/>
        <w:rPr>
          <w:rFonts w:hint="eastAsia" w:ascii="宋体" w:hAnsi="宋体" w:eastAsia="宋体" w:cs="宋体"/>
          <w:sz w:val="28"/>
          <w:szCs w:val="28"/>
        </w:rPr>
      </w:pPr>
      <w:r>
        <w:rPr>
          <w:rFonts w:hint="eastAsia" w:ascii="宋体" w:hAnsi="宋体" w:eastAsia="宋体" w:cs="宋体"/>
          <w:sz w:val="28"/>
          <w:szCs w:val="28"/>
        </w:rPr>
        <w:t>7.检查调整离合器工作情况，检查其它总成，需要进行调整。</w:t>
      </w:r>
    </w:p>
    <w:p w14:paraId="06D2AD6B">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C.</w:t>
      </w:r>
      <w:r>
        <w:rPr>
          <w:rFonts w:hint="eastAsia" w:ascii="宋体" w:hAnsi="宋体" w:eastAsia="宋体" w:cs="宋体"/>
          <w:sz w:val="28"/>
          <w:szCs w:val="28"/>
        </w:rPr>
        <w:t>三级保养作业项目</w:t>
      </w:r>
    </w:p>
    <w:p w14:paraId="2B0F61AD">
      <w:pPr>
        <w:ind w:firstLine="548" w:firstLineChars="196"/>
        <w:rPr>
          <w:rFonts w:hint="eastAsia" w:ascii="宋体" w:hAnsi="宋体" w:eastAsia="宋体" w:cs="宋体"/>
          <w:sz w:val="28"/>
          <w:szCs w:val="28"/>
        </w:rPr>
      </w:pPr>
      <w:r>
        <w:rPr>
          <w:rFonts w:hint="eastAsia" w:ascii="宋体" w:hAnsi="宋体" w:eastAsia="宋体" w:cs="宋体"/>
          <w:sz w:val="28"/>
          <w:szCs w:val="28"/>
        </w:rPr>
        <w:t>经几次二级保养后，为了巩固和保持各个总成、组合件的正常使用性能而采取的保养措施。在汽车行驶较长里程后，对总成和组合件进行的保养作业。</w:t>
      </w:r>
    </w:p>
    <w:p w14:paraId="18246023">
      <w:pPr>
        <w:ind w:firstLine="548" w:firstLineChars="196"/>
        <w:rPr>
          <w:rFonts w:hint="eastAsia" w:ascii="宋体" w:hAnsi="宋体" w:eastAsia="宋体" w:cs="宋体"/>
          <w:sz w:val="28"/>
          <w:szCs w:val="28"/>
        </w:rPr>
      </w:pPr>
      <w:r>
        <w:rPr>
          <w:rFonts w:hint="eastAsia" w:ascii="宋体" w:hAnsi="宋体" w:eastAsia="宋体" w:cs="宋体"/>
          <w:sz w:val="28"/>
          <w:szCs w:val="28"/>
        </w:rPr>
        <w:t>三级保养以总成解体、清洗、检查、调整和清除隐患为中心。其主要作业内容为：</w:t>
      </w:r>
    </w:p>
    <w:p w14:paraId="3EAE5F05">
      <w:pPr>
        <w:ind w:firstLine="548" w:firstLineChars="196"/>
        <w:rPr>
          <w:rFonts w:hint="eastAsia" w:ascii="宋体" w:hAnsi="宋体" w:eastAsia="宋体" w:cs="宋体"/>
          <w:sz w:val="28"/>
          <w:szCs w:val="28"/>
        </w:rPr>
      </w:pPr>
      <w:r>
        <w:rPr>
          <w:rFonts w:hint="eastAsia" w:ascii="宋体" w:hAnsi="宋体" w:eastAsia="宋体" w:cs="宋体"/>
          <w:sz w:val="28"/>
          <w:szCs w:val="28"/>
        </w:rPr>
        <w:t>拆检发动机，检查气缸、活塞、活塞环及拉杆、轴承磨损情况，清除积炭、结胶及冷却系水垢，研磨气门及调整间隙；对前桥、转向、变速器、传动轴、后桥、悬挂和制动器等总成英进行解体，进行清洗、检查、调整、故障排除等工作。必要是对车架和车身进行检查、除锈、补漆等。</w:t>
      </w:r>
    </w:p>
    <w:p w14:paraId="115978E2">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、发动机大修</w:t>
      </w:r>
    </w:p>
    <w:p w14:paraId="1C21B4CD">
      <w:pPr>
        <w:ind w:firstLine="548" w:firstLineChars="196"/>
        <w:rPr>
          <w:rFonts w:hint="eastAsia" w:ascii="宋体" w:hAnsi="宋体" w:eastAsia="宋体" w:cs="宋体"/>
          <w:sz w:val="28"/>
          <w:szCs w:val="28"/>
        </w:rPr>
      </w:pPr>
      <w:r>
        <w:rPr>
          <w:rFonts w:hint="eastAsia" w:ascii="宋体" w:hAnsi="宋体" w:eastAsia="宋体" w:cs="宋体"/>
          <w:sz w:val="28"/>
          <w:szCs w:val="28"/>
        </w:rPr>
        <w:t>发动机大修是指用修理或更换发动机任何零部件(包括基础件)的方法，恢复发动机完好技术状况，完全或接近完全恢复发动机寿命的恢复性修理。发动机进行大修，必须彻底地分解和清洗，精细地修复、装配和调整，确保修理质量。</w:t>
      </w:r>
    </w:p>
    <w:p w14:paraId="6AD9DFA2">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1.机械部分：大修包，气门进排气各一套，活塞环一套，缸套一套4个止推片两片，活塞4个。</w:t>
      </w:r>
    </w:p>
    <w:p w14:paraId="4B185DAA">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2.冷却系统部分：水泵，发动机上下水管，大循环铁水管，小循环胶管，节气门水管。</w:t>
      </w:r>
    </w:p>
    <w:p w14:paraId="36EB00EC">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3.燃油部分：喷油嘴上下油环，汽油滤。</w:t>
      </w:r>
    </w:p>
    <w:p w14:paraId="57EDD07B">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4.点火部分：高压线路是否有发胀或者漏电有则更换，火活塞，空气滤。</w:t>
      </w:r>
    </w:p>
    <w:p w14:paraId="33958F0E">
      <w:pPr>
        <w:ind w:firstLine="548" w:firstLineChars="196"/>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其他辅料</w:t>
      </w:r>
    </w:p>
    <w:p w14:paraId="65B44042">
      <w:pPr>
        <w:numPr>
          <w:ilvl w:val="0"/>
          <w:numId w:val="0"/>
        </w:numPr>
        <w:rPr>
          <w:rFonts w:hint="eastAsia"/>
          <w:lang w:eastAsia="zh-CN"/>
        </w:rPr>
      </w:pPr>
      <w:r>
        <w:rPr>
          <w:rFonts w:hint="eastAsia" w:ascii="宋体" w:hAnsi="宋体" w:eastAsia="宋体" w:cs="宋体"/>
          <w:sz w:val="28"/>
          <w:szCs w:val="28"/>
        </w:rPr>
        <w:t>防冻液，机油，机油格，化清剂，发动机金属清洗剂或者全能水待检部件：缸盖是否腐蚀或者不平，曲轴，凸轮轴，正时皮带张紧轮，正时皮带调整轮，正时皮带，外部发动机皮带及调整轮，摇臂或者摇臂轴。 项目是：大修发动机，外加工缸盖平面，清通水箱、磨气门，镶缸套，压活塞</w:t>
      </w:r>
      <w:r>
        <w:rPr>
          <w:rFonts w:hint="eastAsia" w:ascii="宋体" w:hAnsi="宋体" w:eastAsia="宋体" w:cs="宋体"/>
          <w:sz w:val="28"/>
          <w:szCs w:val="28"/>
          <w:lang w:eastAsia="zh-CN"/>
        </w:rPr>
        <w:t>。</w:t>
      </w:r>
      <w:bookmarkStart w:id="0" w:name="_GoBack"/>
      <w:bookmarkEnd w:id="0"/>
    </w:p>
    <w:p w14:paraId="27977C67">
      <w:pPr>
        <w:pStyle w:val="7"/>
        <w:rPr>
          <w:rFonts w:hint="default"/>
          <w:lang w:val="en-US" w:eastAsia="zh-CN"/>
        </w:rPr>
      </w:pPr>
      <w:r>
        <w:rPr>
          <w:rFonts w:hint="eastAsia" w:ascii="宋体" w:hAnsi="宋体" w:eastAsia="宋体" w:cs="宋体"/>
          <w:sz w:val="28"/>
          <w:szCs w:val="28"/>
          <w:lang w:val="en-US" w:eastAsia="zh-CN"/>
        </w:rPr>
        <w:t>六综合评标法</w:t>
      </w:r>
    </w:p>
    <w:tbl>
      <w:tblPr>
        <w:tblStyle w:val="4"/>
        <w:tblpPr w:leftFromText="180" w:rightFromText="180" w:vertAnchor="text" w:horzAnchor="page" w:tblpX="1447" w:tblpY="431"/>
        <w:tblOverlap w:val="never"/>
        <w:tblW w:w="8476" w:type="dxa"/>
        <w:tblInd w:w="0" w:type="dxa"/>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238"/>
        <w:gridCol w:w="1281"/>
        <w:gridCol w:w="5121"/>
        <w:gridCol w:w="836"/>
      </w:tblGrid>
      <w:tr w14:paraId="2D6AC17C">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trHeight w:val="884" w:hRule="atLeast"/>
        </w:trPr>
        <w:tc>
          <w:tcPr>
            <w:tcW w:w="1238" w:type="dxa"/>
            <w:tcBorders>
              <w:tl2br w:val="nil"/>
              <w:tr2bl w:val="nil"/>
            </w:tcBorders>
            <w:vAlign w:val="center"/>
          </w:tcPr>
          <w:p w14:paraId="6B5AC71B">
            <w:pPr>
              <w:adjustRightInd w:val="0"/>
              <w:snapToGrid w:val="0"/>
              <w:jc w:val="center"/>
              <w:rPr>
                <w:rFonts w:ascii="宋体" w:hAnsi="宋体"/>
                <w:b w:val="0"/>
                <w:bCs/>
                <w:sz w:val="28"/>
                <w:szCs w:val="28"/>
              </w:rPr>
            </w:pPr>
            <w:r>
              <w:rPr>
                <w:rFonts w:hint="eastAsia" w:ascii="宋体" w:hAnsi="宋体"/>
                <w:b w:val="0"/>
                <w:bCs/>
                <w:sz w:val="28"/>
                <w:szCs w:val="28"/>
              </w:rPr>
              <w:t>评分因素</w:t>
            </w:r>
          </w:p>
        </w:tc>
        <w:tc>
          <w:tcPr>
            <w:tcW w:w="1281" w:type="dxa"/>
            <w:tcBorders>
              <w:tl2br w:val="nil"/>
              <w:tr2bl w:val="nil"/>
            </w:tcBorders>
            <w:vAlign w:val="center"/>
          </w:tcPr>
          <w:p w14:paraId="6F3F08BC">
            <w:pPr>
              <w:adjustRightInd w:val="0"/>
              <w:snapToGrid w:val="0"/>
              <w:jc w:val="center"/>
              <w:rPr>
                <w:rFonts w:ascii="宋体" w:hAnsi="宋体"/>
                <w:b w:val="0"/>
                <w:bCs/>
                <w:sz w:val="28"/>
                <w:szCs w:val="28"/>
              </w:rPr>
            </w:pPr>
            <w:r>
              <w:rPr>
                <w:rFonts w:hint="eastAsia" w:ascii="宋体" w:hAnsi="宋体"/>
                <w:b w:val="0"/>
                <w:bCs/>
                <w:sz w:val="28"/>
                <w:szCs w:val="28"/>
              </w:rPr>
              <w:t>评分内容</w:t>
            </w:r>
          </w:p>
        </w:tc>
        <w:tc>
          <w:tcPr>
            <w:tcW w:w="5121" w:type="dxa"/>
            <w:tcBorders>
              <w:tl2br w:val="nil"/>
              <w:tr2bl w:val="nil"/>
            </w:tcBorders>
            <w:vAlign w:val="center"/>
          </w:tcPr>
          <w:p w14:paraId="4F7701EE">
            <w:pPr>
              <w:spacing w:line="360" w:lineRule="auto"/>
              <w:jc w:val="center"/>
              <w:rPr>
                <w:rFonts w:ascii="宋体" w:hAnsi="宋体"/>
                <w:b w:val="0"/>
                <w:bCs/>
                <w:sz w:val="28"/>
                <w:szCs w:val="28"/>
              </w:rPr>
            </w:pPr>
            <w:r>
              <w:rPr>
                <w:rFonts w:hint="eastAsia" w:ascii="宋体" w:hAnsi="宋体"/>
                <w:b w:val="0"/>
                <w:bCs/>
                <w:sz w:val="28"/>
                <w:szCs w:val="28"/>
                <w:lang w:val="en-US" w:eastAsia="zh-CN"/>
              </w:rPr>
              <w:t>综合</w:t>
            </w:r>
            <w:r>
              <w:rPr>
                <w:rFonts w:hint="eastAsia" w:ascii="宋体" w:hAnsi="宋体"/>
                <w:b w:val="0"/>
                <w:bCs/>
                <w:sz w:val="28"/>
                <w:szCs w:val="28"/>
              </w:rPr>
              <w:t>评分标准</w:t>
            </w:r>
          </w:p>
        </w:tc>
        <w:tc>
          <w:tcPr>
            <w:tcW w:w="836" w:type="dxa"/>
            <w:tcBorders>
              <w:tl2br w:val="nil"/>
              <w:tr2bl w:val="nil"/>
            </w:tcBorders>
            <w:vAlign w:val="center"/>
          </w:tcPr>
          <w:p w14:paraId="1962EC1C">
            <w:pPr>
              <w:adjustRightInd w:val="0"/>
              <w:snapToGrid w:val="0"/>
              <w:jc w:val="center"/>
              <w:rPr>
                <w:rFonts w:ascii="宋体" w:hAnsi="宋体"/>
                <w:b w:val="0"/>
                <w:bCs/>
                <w:sz w:val="28"/>
                <w:szCs w:val="28"/>
              </w:rPr>
            </w:pPr>
            <w:r>
              <w:rPr>
                <w:rFonts w:hint="eastAsia" w:ascii="宋体" w:hAnsi="宋体"/>
                <w:b w:val="0"/>
                <w:bCs/>
                <w:sz w:val="28"/>
                <w:szCs w:val="28"/>
              </w:rPr>
              <w:t>分值</w:t>
            </w:r>
          </w:p>
        </w:tc>
      </w:tr>
      <w:tr w14:paraId="3BC6BE56">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c>
          <w:tcPr>
            <w:tcW w:w="1238" w:type="dxa"/>
            <w:tcBorders>
              <w:tl2br w:val="nil"/>
              <w:tr2bl w:val="nil"/>
            </w:tcBorders>
            <w:vAlign w:val="center"/>
          </w:tcPr>
          <w:p w14:paraId="04EC7C0B">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报价部分</w:t>
            </w:r>
          </w:p>
          <w:p w14:paraId="42808D46">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（45分）</w:t>
            </w:r>
          </w:p>
        </w:tc>
        <w:tc>
          <w:tcPr>
            <w:tcW w:w="1281" w:type="dxa"/>
            <w:tcBorders>
              <w:tl2br w:val="nil"/>
              <w:tr2bl w:val="nil"/>
            </w:tcBorders>
            <w:vAlign w:val="center"/>
          </w:tcPr>
          <w:p w14:paraId="0711E025">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投标报价</w:t>
            </w:r>
          </w:p>
        </w:tc>
        <w:tc>
          <w:tcPr>
            <w:tcW w:w="5121" w:type="dxa"/>
            <w:tcBorders>
              <w:tl2br w:val="nil"/>
              <w:tr2bl w:val="nil"/>
            </w:tcBorders>
            <w:vAlign w:val="center"/>
          </w:tcPr>
          <w:p w14:paraId="6093DBAB">
            <w:pPr>
              <w:adjustRightInd w:val="0"/>
              <w:snapToGrid w:val="0"/>
              <w:spacing w:line="360" w:lineRule="auto"/>
              <w:jc w:val="left"/>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lang w:val="en-US" w:eastAsia="zh-CN"/>
              </w:rPr>
              <w:t>报价分值计算：</w:t>
            </w:r>
          </w:p>
          <w:p w14:paraId="727EFC1E">
            <w:pPr>
              <w:numPr>
                <w:ilvl w:val="0"/>
                <w:numId w:val="0"/>
              </w:numPr>
              <w:adjustRightInd w:val="0"/>
              <w:snapToGrid w:val="0"/>
              <w:spacing w:line="360" w:lineRule="auto"/>
              <w:jc w:val="left"/>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lang w:val="en-US" w:eastAsia="zh-CN"/>
              </w:rPr>
              <w:t>（1）有效投标方：通过初步评审的投标方；</w:t>
            </w:r>
          </w:p>
          <w:p w14:paraId="5D4B7485">
            <w:pPr>
              <w:adjustRightInd w:val="0"/>
              <w:snapToGrid w:val="0"/>
              <w:spacing w:line="360" w:lineRule="auto"/>
              <w:jc w:val="left"/>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lang w:val="en-US" w:eastAsia="zh-CN"/>
              </w:rPr>
              <w:t>（2）有效投标报价：有效投标方的投标报价；</w:t>
            </w:r>
          </w:p>
          <w:p w14:paraId="329AC517">
            <w:pPr>
              <w:adjustRightInd w:val="0"/>
              <w:snapToGrid w:val="0"/>
              <w:spacing w:line="360" w:lineRule="auto"/>
              <w:jc w:val="left"/>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lang w:val="en-US" w:eastAsia="zh-CN"/>
              </w:rPr>
              <w:t>（3）有效投标方少于5个（含）时，所有有效投标报价的算术平均值；有效投标报价超过5个（不含）时，去掉一个最高和一个最低后有效投标报价的算术平均值</w:t>
            </w:r>
          </w:p>
          <w:p w14:paraId="1AB4EA4A">
            <w:pPr>
              <w:adjustRightInd w:val="0"/>
              <w:snapToGrid w:val="0"/>
              <w:spacing w:line="360" w:lineRule="auto"/>
              <w:jc w:val="left"/>
              <w:rPr>
                <w:rFonts w:hint="eastAsia" w:ascii="宋体" w:hAnsi="宋体" w:eastAsia="宋体" w:cs="Times New Roman"/>
                <w:b w:val="0"/>
                <w:bCs/>
                <w:sz w:val="28"/>
                <w:szCs w:val="28"/>
                <w:lang w:val="en-US" w:eastAsia="zh-CN"/>
              </w:rPr>
            </w:pPr>
            <w:r>
              <w:rPr>
                <w:rFonts w:hint="eastAsia" w:ascii="宋体" w:hAnsi="宋体" w:eastAsia="宋体" w:cs="Times New Roman"/>
                <w:b w:val="0"/>
                <w:bCs/>
                <w:sz w:val="28"/>
                <w:szCs w:val="28"/>
              </w:rPr>
              <w:t>（</w:t>
            </w:r>
            <w:r>
              <w:rPr>
                <w:rFonts w:hint="eastAsia" w:ascii="宋体" w:hAnsi="宋体" w:eastAsia="宋体" w:cs="Times New Roman"/>
                <w:b w:val="0"/>
                <w:bCs/>
                <w:sz w:val="28"/>
                <w:szCs w:val="28"/>
                <w:lang w:val="en-US" w:eastAsia="zh-CN"/>
              </w:rPr>
              <w:t>4</w:t>
            </w:r>
            <w:r>
              <w:rPr>
                <w:rFonts w:hint="eastAsia" w:ascii="宋体" w:hAnsi="宋体" w:eastAsia="宋体" w:cs="Times New Roman"/>
                <w:b w:val="0"/>
                <w:bCs/>
                <w:sz w:val="28"/>
                <w:szCs w:val="28"/>
              </w:rPr>
              <w:t>）</w:t>
            </w:r>
            <w:r>
              <w:rPr>
                <w:rFonts w:hint="eastAsia" w:ascii="宋体" w:hAnsi="宋体" w:eastAsia="宋体" w:cs="Times New Roman"/>
                <w:b w:val="0"/>
                <w:bCs/>
                <w:sz w:val="28"/>
                <w:szCs w:val="28"/>
                <w:lang w:val="en-US" w:eastAsia="zh-CN"/>
              </w:rPr>
              <w:t>偏差率=100%×（投标方投标报价—评标基准价）/评标基准价</w:t>
            </w:r>
          </w:p>
          <w:p w14:paraId="7FE409AC">
            <w:pPr>
              <w:adjustRightInd w:val="0"/>
              <w:snapToGrid w:val="0"/>
              <w:spacing w:line="360" w:lineRule="auto"/>
              <w:jc w:val="left"/>
              <w:rPr>
                <w:rFonts w:hint="eastAsia" w:ascii="宋体" w:hAnsi="宋体" w:eastAsia="宋体" w:cs="Times New Roman"/>
                <w:b w:val="0"/>
                <w:bCs/>
                <w:sz w:val="28"/>
                <w:szCs w:val="28"/>
              </w:rPr>
            </w:pPr>
            <w:r>
              <w:rPr>
                <w:rFonts w:hint="eastAsia" w:ascii="宋体" w:hAnsi="宋体" w:eastAsia="宋体" w:cs="Times New Roman"/>
                <w:b w:val="0"/>
                <w:bCs/>
                <w:sz w:val="28"/>
                <w:szCs w:val="28"/>
              </w:rPr>
              <w:t>（</w:t>
            </w:r>
            <w:r>
              <w:rPr>
                <w:rFonts w:hint="eastAsia" w:ascii="宋体" w:hAnsi="宋体" w:eastAsia="宋体" w:cs="Times New Roman"/>
                <w:b w:val="0"/>
                <w:bCs/>
                <w:sz w:val="28"/>
                <w:szCs w:val="28"/>
                <w:lang w:val="en-US" w:eastAsia="zh-CN"/>
              </w:rPr>
              <w:t>5</w:t>
            </w:r>
            <w:r>
              <w:rPr>
                <w:rFonts w:hint="eastAsia" w:ascii="宋体" w:hAnsi="宋体" w:eastAsia="宋体" w:cs="Times New Roman"/>
                <w:b w:val="0"/>
                <w:bCs/>
                <w:sz w:val="28"/>
                <w:szCs w:val="28"/>
              </w:rPr>
              <w:t>）投标报价与评标基准价相等者得基本分</w:t>
            </w:r>
            <w:r>
              <w:rPr>
                <w:rFonts w:hint="eastAsia" w:ascii="宋体" w:hAnsi="宋体" w:eastAsia="宋体" w:cs="Times New Roman"/>
                <w:b w:val="0"/>
                <w:bCs/>
                <w:sz w:val="28"/>
                <w:szCs w:val="28"/>
                <w:lang w:val="en-US" w:eastAsia="zh-CN"/>
              </w:rPr>
              <w:t>40</w:t>
            </w:r>
            <w:r>
              <w:rPr>
                <w:rFonts w:hint="eastAsia" w:ascii="宋体" w:hAnsi="宋体" w:eastAsia="宋体" w:cs="Times New Roman"/>
                <w:b w:val="0"/>
                <w:bCs/>
                <w:sz w:val="28"/>
                <w:szCs w:val="28"/>
              </w:rPr>
              <w:t>分。</w:t>
            </w:r>
          </w:p>
          <w:p w14:paraId="17BFA673">
            <w:pPr>
              <w:adjustRightInd w:val="0"/>
              <w:snapToGrid w:val="0"/>
              <w:spacing w:line="360" w:lineRule="auto"/>
              <w:jc w:val="left"/>
              <w:rPr>
                <w:rFonts w:hint="eastAsia" w:ascii="宋体" w:hAnsi="宋体" w:eastAsia="宋体" w:cs="Times New Roman"/>
                <w:b w:val="0"/>
                <w:bCs/>
                <w:sz w:val="28"/>
                <w:szCs w:val="28"/>
              </w:rPr>
            </w:pPr>
            <w:r>
              <w:rPr>
                <w:rFonts w:hint="eastAsia" w:ascii="宋体" w:hAnsi="宋体" w:eastAsia="宋体" w:cs="Times New Roman"/>
                <w:b w:val="0"/>
                <w:bCs/>
                <w:sz w:val="28"/>
                <w:szCs w:val="28"/>
              </w:rPr>
              <w:t>（</w:t>
            </w:r>
            <w:r>
              <w:rPr>
                <w:rFonts w:hint="eastAsia" w:ascii="宋体" w:hAnsi="宋体" w:eastAsia="宋体" w:cs="Times New Roman"/>
                <w:b w:val="0"/>
                <w:bCs/>
                <w:sz w:val="28"/>
                <w:szCs w:val="28"/>
                <w:lang w:val="en-US" w:eastAsia="zh-CN"/>
              </w:rPr>
              <w:t>6</w:t>
            </w:r>
            <w:r>
              <w:rPr>
                <w:rFonts w:hint="eastAsia" w:ascii="宋体" w:hAnsi="宋体" w:eastAsia="宋体" w:cs="Times New Roman"/>
                <w:b w:val="0"/>
                <w:bCs/>
                <w:sz w:val="28"/>
                <w:szCs w:val="28"/>
              </w:rPr>
              <w:t>）投标报价高于评标基准价的，按每高于评标基准价1%扣1分的比例在基本分</w:t>
            </w:r>
            <w:r>
              <w:rPr>
                <w:rFonts w:hint="eastAsia" w:ascii="宋体" w:hAnsi="宋体" w:eastAsia="宋体" w:cs="Times New Roman"/>
                <w:b w:val="0"/>
                <w:bCs/>
                <w:sz w:val="28"/>
                <w:szCs w:val="28"/>
                <w:lang w:val="en-US" w:eastAsia="zh-CN"/>
              </w:rPr>
              <w:t>40</w:t>
            </w:r>
            <w:r>
              <w:rPr>
                <w:rFonts w:hint="eastAsia" w:ascii="宋体" w:hAnsi="宋体" w:eastAsia="宋体" w:cs="Times New Roman"/>
                <w:b w:val="0"/>
                <w:bCs/>
                <w:sz w:val="28"/>
                <w:szCs w:val="28"/>
              </w:rPr>
              <w:t>分基础上进行扣分，扣完为止；</w:t>
            </w:r>
          </w:p>
          <w:p w14:paraId="66EC17D7">
            <w:pPr>
              <w:adjustRightInd w:val="0"/>
              <w:snapToGrid w:val="0"/>
              <w:spacing w:line="360" w:lineRule="auto"/>
              <w:jc w:val="left"/>
              <w:rPr>
                <w:rFonts w:hint="eastAsia" w:ascii="宋体" w:hAnsi="宋体" w:eastAsia="宋体" w:cs="Times New Roman"/>
                <w:b w:val="0"/>
                <w:bCs/>
                <w:sz w:val="28"/>
                <w:szCs w:val="28"/>
                <w:lang w:eastAsia="zh-CN"/>
              </w:rPr>
            </w:pPr>
            <w:r>
              <w:rPr>
                <w:rFonts w:hint="eastAsia" w:ascii="宋体" w:hAnsi="宋体" w:eastAsia="宋体" w:cs="Times New Roman"/>
                <w:b w:val="0"/>
                <w:bCs/>
                <w:sz w:val="28"/>
                <w:szCs w:val="28"/>
                <w:lang w:eastAsia="zh-CN"/>
              </w:rPr>
              <w:t>（</w:t>
            </w:r>
            <w:r>
              <w:rPr>
                <w:rFonts w:hint="eastAsia" w:ascii="宋体" w:hAnsi="宋体" w:eastAsia="宋体" w:cs="Times New Roman"/>
                <w:b w:val="0"/>
                <w:bCs/>
                <w:sz w:val="28"/>
                <w:szCs w:val="28"/>
                <w:lang w:val="en-US" w:eastAsia="zh-CN"/>
              </w:rPr>
              <w:t>7</w:t>
            </w:r>
            <w:r>
              <w:rPr>
                <w:rFonts w:hint="eastAsia" w:ascii="宋体" w:hAnsi="宋体" w:eastAsia="宋体" w:cs="Times New Roman"/>
                <w:b w:val="0"/>
                <w:bCs/>
                <w:sz w:val="28"/>
                <w:szCs w:val="28"/>
                <w:lang w:eastAsia="zh-CN"/>
              </w:rPr>
              <w:t>）投标报价低于评标基准价的，按每低于评标基准价1%加1分的比例在基本分</w:t>
            </w:r>
            <w:r>
              <w:rPr>
                <w:rFonts w:hint="eastAsia" w:ascii="宋体" w:hAnsi="宋体" w:eastAsia="宋体" w:cs="Times New Roman"/>
                <w:b w:val="0"/>
                <w:bCs/>
                <w:sz w:val="28"/>
                <w:szCs w:val="28"/>
                <w:lang w:val="en-US" w:eastAsia="zh-CN"/>
              </w:rPr>
              <w:t>40</w:t>
            </w:r>
            <w:r>
              <w:rPr>
                <w:rFonts w:hint="eastAsia" w:ascii="宋体" w:hAnsi="宋体" w:eastAsia="宋体" w:cs="Times New Roman"/>
                <w:b w:val="0"/>
                <w:bCs/>
                <w:sz w:val="28"/>
                <w:szCs w:val="28"/>
                <w:lang w:eastAsia="zh-CN"/>
              </w:rPr>
              <w:t>分基础上进行加分，最多加5分；投标人投标报价低于评标基准价5%时（不含5%），每再低1%，在满分</w:t>
            </w:r>
            <w:r>
              <w:rPr>
                <w:rFonts w:hint="eastAsia" w:ascii="宋体" w:hAnsi="宋体" w:eastAsia="宋体" w:cs="Times New Roman"/>
                <w:b w:val="0"/>
                <w:bCs/>
                <w:sz w:val="28"/>
                <w:szCs w:val="28"/>
                <w:lang w:val="en-US" w:eastAsia="zh-CN"/>
              </w:rPr>
              <w:t>45</w:t>
            </w:r>
            <w:r>
              <w:rPr>
                <w:rFonts w:hint="eastAsia" w:ascii="宋体" w:hAnsi="宋体" w:eastAsia="宋体" w:cs="Times New Roman"/>
                <w:b w:val="0"/>
                <w:bCs/>
                <w:sz w:val="28"/>
                <w:szCs w:val="28"/>
                <w:lang w:eastAsia="zh-CN"/>
              </w:rPr>
              <w:t>分的基础上扣1分，扣完为止；</w:t>
            </w:r>
          </w:p>
          <w:p w14:paraId="615A8666">
            <w:pPr>
              <w:adjustRightInd w:val="0"/>
              <w:snapToGrid w:val="0"/>
              <w:spacing w:line="360" w:lineRule="auto"/>
              <w:jc w:val="left"/>
              <w:rPr>
                <w:rFonts w:hint="eastAsia"/>
                <w:b w:val="0"/>
                <w:bCs/>
                <w:sz w:val="28"/>
                <w:szCs w:val="28"/>
                <w:lang w:val="en-US" w:eastAsia="zh-CN"/>
              </w:rPr>
            </w:pPr>
            <w:r>
              <w:rPr>
                <w:rFonts w:hint="eastAsia" w:ascii="宋体" w:hAnsi="宋体" w:eastAsia="宋体" w:cs="Times New Roman"/>
                <w:b w:val="0"/>
                <w:bCs/>
                <w:sz w:val="28"/>
                <w:szCs w:val="28"/>
                <w:lang w:eastAsia="zh-CN"/>
              </w:rPr>
              <w:t>（</w:t>
            </w:r>
            <w:r>
              <w:rPr>
                <w:rFonts w:hint="eastAsia" w:ascii="宋体" w:hAnsi="宋体" w:eastAsia="宋体" w:cs="Times New Roman"/>
                <w:b w:val="0"/>
                <w:bCs/>
                <w:sz w:val="28"/>
                <w:szCs w:val="28"/>
                <w:lang w:val="en-US" w:eastAsia="zh-CN"/>
              </w:rPr>
              <w:t>8</w:t>
            </w:r>
            <w:r>
              <w:rPr>
                <w:rFonts w:hint="eastAsia" w:ascii="宋体" w:hAnsi="宋体" w:eastAsia="宋体" w:cs="Times New Roman"/>
                <w:b w:val="0"/>
                <w:bCs/>
                <w:sz w:val="28"/>
                <w:szCs w:val="28"/>
                <w:lang w:eastAsia="zh-CN"/>
              </w:rPr>
              <w:t>）不足1％部分按线性内插法取值。</w:t>
            </w:r>
          </w:p>
        </w:tc>
        <w:tc>
          <w:tcPr>
            <w:tcW w:w="836" w:type="dxa"/>
            <w:tcBorders>
              <w:tl2br w:val="nil"/>
              <w:tr2bl w:val="nil"/>
            </w:tcBorders>
            <w:vAlign w:val="center"/>
          </w:tcPr>
          <w:p w14:paraId="6E51FE03">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45</w:t>
            </w:r>
          </w:p>
        </w:tc>
      </w:tr>
      <w:tr w14:paraId="7C546D3A">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936" w:hRule="atLeast"/>
        </w:trPr>
        <w:tc>
          <w:tcPr>
            <w:tcW w:w="1238" w:type="dxa"/>
            <w:vMerge w:val="restart"/>
            <w:tcBorders>
              <w:tl2br w:val="nil"/>
              <w:tr2bl w:val="nil"/>
            </w:tcBorders>
            <w:vAlign w:val="center"/>
          </w:tcPr>
          <w:p w14:paraId="3F914035">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商务部分</w:t>
            </w:r>
          </w:p>
          <w:p w14:paraId="75FB9A24">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（10分）</w:t>
            </w:r>
          </w:p>
        </w:tc>
        <w:tc>
          <w:tcPr>
            <w:tcW w:w="1281" w:type="dxa"/>
            <w:tcBorders>
              <w:tl2br w:val="nil"/>
              <w:tr2bl w:val="nil"/>
            </w:tcBorders>
            <w:vAlign w:val="center"/>
          </w:tcPr>
          <w:p w14:paraId="6C306AA6">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认证证书</w:t>
            </w:r>
          </w:p>
        </w:tc>
        <w:tc>
          <w:tcPr>
            <w:tcW w:w="5121" w:type="dxa"/>
            <w:tcBorders>
              <w:tl2br w:val="nil"/>
              <w:tr2bl w:val="nil"/>
            </w:tcBorders>
            <w:vAlign w:val="center"/>
          </w:tcPr>
          <w:p w14:paraId="5F613F32">
            <w:pPr>
              <w:adjustRightInd w:val="0"/>
              <w:snapToGrid w:val="0"/>
              <w:spacing w:line="360" w:lineRule="auto"/>
              <w:ind w:firstLine="560" w:firstLineChars="200"/>
              <w:rPr>
                <w:rFonts w:ascii="宋体" w:hAnsi="宋体" w:cs="宋体"/>
                <w:b w:val="0"/>
                <w:bCs/>
                <w:sz w:val="28"/>
                <w:szCs w:val="28"/>
              </w:rPr>
            </w:pPr>
            <w:r>
              <w:rPr>
                <w:b w:val="0"/>
                <w:bCs/>
                <w:sz w:val="28"/>
                <w:szCs w:val="28"/>
              </w:rPr>
              <w:t>同时具有质量管理体系认证、环境管理体系认证、 职业安全健康管理体系认证</w:t>
            </w:r>
            <w:r>
              <w:rPr>
                <w:rFonts w:hint="eastAsia" w:ascii="宋体" w:hAnsi="宋体" w:cs="宋体"/>
                <w:b w:val="0"/>
                <w:bCs/>
                <w:sz w:val="28"/>
                <w:szCs w:val="28"/>
              </w:rPr>
              <w:t>的，得3分，缺一项扣 1 分，扣完为止。</w:t>
            </w:r>
          </w:p>
          <w:p w14:paraId="5823DF7C">
            <w:pPr>
              <w:adjustRightInd w:val="0"/>
              <w:snapToGrid w:val="0"/>
              <w:spacing w:line="360" w:lineRule="auto"/>
              <w:ind w:firstLine="560" w:firstLineChars="200"/>
              <w:rPr>
                <w:rFonts w:ascii="宋体" w:hAnsi="宋体"/>
                <w:b w:val="0"/>
                <w:bCs/>
                <w:sz w:val="28"/>
                <w:szCs w:val="28"/>
              </w:rPr>
            </w:pPr>
            <w:r>
              <w:rPr>
                <w:rFonts w:hint="eastAsia" w:ascii="宋体" w:hAnsi="宋体" w:cs="宋体"/>
                <w:b w:val="0"/>
                <w:bCs/>
                <w:sz w:val="28"/>
                <w:szCs w:val="28"/>
              </w:rPr>
              <w:t>注：投标文件中附认证证书复印件及证</w:t>
            </w:r>
            <w:r>
              <w:rPr>
                <w:b w:val="0"/>
                <w:bCs/>
                <w:sz w:val="28"/>
                <w:szCs w:val="28"/>
              </w:rPr>
              <w:t>书网上查询截图，评标时查验认证证书原件，否则不得分。</w:t>
            </w:r>
          </w:p>
        </w:tc>
        <w:tc>
          <w:tcPr>
            <w:tcW w:w="836" w:type="dxa"/>
            <w:tcBorders>
              <w:tl2br w:val="nil"/>
              <w:tr2bl w:val="nil"/>
            </w:tcBorders>
            <w:vAlign w:val="center"/>
          </w:tcPr>
          <w:p w14:paraId="43804A71">
            <w:pPr>
              <w:adjustRightInd w:val="0"/>
              <w:snapToGrid w:val="0"/>
              <w:jc w:val="center"/>
              <w:rPr>
                <w:rFonts w:ascii="宋体" w:hAnsi="宋体"/>
                <w:b w:val="0"/>
                <w:bCs/>
                <w:sz w:val="28"/>
                <w:szCs w:val="28"/>
              </w:rPr>
            </w:pPr>
            <w:r>
              <w:rPr>
                <w:rFonts w:hint="eastAsia" w:ascii="宋体" w:hAnsi="宋体"/>
                <w:b w:val="0"/>
                <w:bCs/>
                <w:sz w:val="28"/>
                <w:szCs w:val="28"/>
              </w:rPr>
              <w:t>3</w:t>
            </w:r>
          </w:p>
        </w:tc>
      </w:tr>
      <w:tr w14:paraId="5776429F">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936" w:hRule="atLeast"/>
        </w:trPr>
        <w:tc>
          <w:tcPr>
            <w:tcW w:w="1238" w:type="dxa"/>
            <w:vMerge w:val="continue"/>
            <w:tcBorders>
              <w:tl2br w:val="nil"/>
              <w:tr2bl w:val="nil"/>
            </w:tcBorders>
            <w:vAlign w:val="center"/>
          </w:tcPr>
          <w:p w14:paraId="54238E22">
            <w:pPr>
              <w:adjustRightInd w:val="0"/>
              <w:snapToGrid w:val="0"/>
              <w:spacing w:line="360" w:lineRule="auto"/>
              <w:jc w:val="center"/>
              <w:rPr>
                <w:rFonts w:ascii="宋体" w:hAnsi="宋体"/>
                <w:b w:val="0"/>
                <w:bCs/>
                <w:sz w:val="28"/>
                <w:szCs w:val="28"/>
              </w:rPr>
            </w:pPr>
          </w:p>
        </w:tc>
        <w:tc>
          <w:tcPr>
            <w:tcW w:w="1281" w:type="dxa"/>
            <w:tcBorders>
              <w:tl2br w:val="nil"/>
              <w:tr2bl w:val="nil"/>
            </w:tcBorders>
            <w:vAlign w:val="center"/>
          </w:tcPr>
          <w:p w14:paraId="6E440568">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企业业绩</w:t>
            </w:r>
          </w:p>
        </w:tc>
        <w:tc>
          <w:tcPr>
            <w:tcW w:w="5121" w:type="dxa"/>
            <w:tcBorders>
              <w:tl2br w:val="nil"/>
              <w:tr2bl w:val="nil"/>
            </w:tcBorders>
            <w:vAlign w:val="center"/>
          </w:tcPr>
          <w:p w14:paraId="4C428E91">
            <w:pPr>
              <w:adjustRightInd w:val="0"/>
              <w:snapToGrid w:val="0"/>
              <w:spacing w:line="360" w:lineRule="auto"/>
              <w:ind w:firstLine="420" w:firstLineChars="150"/>
              <w:rPr>
                <w:rFonts w:ascii="宋体" w:hAnsi="宋体"/>
                <w:b w:val="0"/>
                <w:bCs/>
                <w:sz w:val="28"/>
                <w:szCs w:val="28"/>
              </w:rPr>
            </w:pPr>
            <w:r>
              <w:rPr>
                <w:rFonts w:hint="eastAsia" w:ascii="宋体" w:hAnsi="宋体"/>
                <w:b w:val="0"/>
                <w:bCs/>
                <w:sz w:val="28"/>
                <w:szCs w:val="28"/>
                <w:lang w:val="en-US" w:eastAsia="zh-CN"/>
              </w:rPr>
              <w:t>2022</w:t>
            </w:r>
            <w:r>
              <w:rPr>
                <w:rFonts w:hint="eastAsia" w:ascii="宋体" w:hAnsi="宋体"/>
                <w:b w:val="0"/>
                <w:bCs/>
                <w:sz w:val="28"/>
                <w:szCs w:val="28"/>
              </w:rPr>
              <w:t>年1月以来，签订同类设备销售合同业绩的，每提供一份完整业绩得1分，最多得6分。</w:t>
            </w:r>
          </w:p>
          <w:p w14:paraId="433BBC16">
            <w:pPr>
              <w:adjustRightInd w:val="0"/>
              <w:snapToGrid w:val="0"/>
              <w:spacing w:line="360" w:lineRule="auto"/>
              <w:ind w:firstLine="420" w:firstLineChars="150"/>
              <w:rPr>
                <w:rFonts w:ascii="宋体" w:hAnsi="宋体"/>
                <w:b w:val="0"/>
                <w:bCs/>
                <w:sz w:val="28"/>
                <w:szCs w:val="28"/>
              </w:rPr>
            </w:pPr>
            <w:r>
              <w:rPr>
                <w:rFonts w:hint="eastAsia" w:ascii="宋体" w:hAnsi="宋体"/>
                <w:b w:val="0"/>
                <w:bCs/>
                <w:sz w:val="28"/>
                <w:szCs w:val="28"/>
              </w:rPr>
              <w:t>注：完整业绩 = 合同</w:t>
            </w:r>
            <w:r>
              <w:rPr>
                <w:rFonts w:hint="eastAsia" w:ascii="宋体" w:hAnsi="宋体"/>
                <w:b w:val="0"/>
                <w:bCs/>
                <w:sz w:val="28"/>
                <w:szCs w:val="28"/>
                <w:lang w:eastAsia="zh-CN"/>
              </w:rPr>
              <w:t>或</w:t>
            </w:r>
            <w:r>
              <w:rPr>
                <w:rFonts w:hint="eastAsia" w:ascii="宋体" w:hAnsi="宋体"/>
                <w:b w:val="0"/>
                <w:bCs/>
                <w:sz w:val="28"/>
                <w:szCs w:val="28"/>
              </w:rPr>
              <w:t xml:space="preserve"> 中标通知书 （加盖公章）。</w:t>
            </w:r>
          </w:p>
          <w:p w14:paraId="3E40969C">
            <w:pPr>
              <w:adjustRightInd w:val="0"/>
              <w:snapToGrid w:val="0"/>
              <w:spacing w:line="360" w:lineRule="auto"/>
              <w:ind w:firstLine="840" w:firstLineChars="300"/>
              <w:rPr>
                <w:rFonts w:ascii="宋体" w:hAnsi="宋体"/>
                <w:b w:val="0"/>
                <w:bCs/>
                <w:sz w:val="28"/>
                <w:szCs w:val="28"/>
              </w:rPr>
            </w:pPr>
            <w:r>
              <w:rPr>
                <w:rFonts w:hint="eastAsia" w:ascii="宋体" w:hAnsi="宋体"/>
                <w:b w:val="0"/>
                <w:bCs/>
                <w:sz w:val="28"/>
                <w:szCs w:val="28"/>
              </w:rPr>
              <w:t>投标文件中附完整业绩复印件，否则不得分。</w:t>
            </w:r>
          </w:p>
        </w:tc>
        <w:tc>
          <w:tcPr>
            <w:tcW w:w="836" w:type="dxa"/>
            <w:tcBorders>
              <w:tl2br w:val="nil"/>
              <w:tr2bl w:val="nil"/>
            </w:tcBorders>
            <w:vAlign w:val="center"/>
          </w:tcPr>
          <w:p w14:paraId="678F03DD">
            <w:pPr>
              <w:adjustRightInd w:val="0"/>
              <w:snapToGrid w:val="0"/>
              <w:jc w:val="center"/>
              <w:rPr>
                <w:rFonts w:ascii="宋体" w:hAnsi="宋体"/>
                <w:b w:val="0"/>
                <w:bCs/>
                <w:sz w:val="28"/>
                <w:szCs w:val="28"/>
              </w:rPr>
            </w:pPr>
            <w:r>
              <w:rPr>
                <w:rFonts w:hint="eastAsia" w:ascii="宋体" w:hAnsi="宋体"/>
                <w:b w:val="0"/>
                <w:bCs/>
                <w:sz w:val="28"/>
                <w:szCs w:val="28"/>
              </w:rPr>
              <w:t>6</w:t>
            </w:r>
          </w:p>
        </w:tc>
      </w:tr>
      <w:tr w14:paraId="054422F7">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Pr>
        <w:tc>
          <w:tcPr>
            <w:tcW w:w="1238" w:type="dxa"/>
            <w:vMerge w:val="continue"/>
            <w:tcBorders>
              <w:tl2br w:val="nil"/>
              <w:tr2bl w:val="nil"/>
            </w:tcBorders>
            <w:vAlign w:val="center"/>
          </w:tcPr>
          <w:p w14:paraId="22A5D3AC">
            <w:pPr>
              <w:adjustRightInd w:val="0"/>
              <w:snapToGrid w:val="0"/>
              <w:spacing w:line="360" w:lineRule="auto"/>
              <w:jc w:val="center"/>
              <w:rPr>
                <w:rFonts w:ascii="宋体" w:hAnsi="宋体"/>
                <w:b w:val="0"/>
                <w:bCs/>
                <w:sz w:val="28"/>
                <w:szCs w:val="28"/>
              </w:rPr>
            </w:pPr>
          </w:p>
        </w:tc>
        <w:tc>
          <w:tcPr>
            <w:tcW w:w="1281" w:type="dxa"/>
            <w:tcBorders>
              <w:tl2br w:val="nil"/>
              <w:tr2bl w:val="nil"/>
            </w:tcBorders>
            <w:vAlign w:val="center"/>
          </w:tcPr>
          <w:p w14:paraId="79DC2A6A">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交货期</w:t>
            </w:r>
          </w:p>
        </w:tc>
        <w:tc>
          <w:tcPr>
            <w:tcW w:w="5121" w:type="dxa"/>
            <w:tcBorders>
              <w:tl2br w:val="nil"/>
              <w:tr2bl w:val="nil"/>
            </w:tcBorders>
            <w:vAlign w:val="center"/>
          </w:tcPr>
          <w:p w14:paraId="0B2BACBD">
            <w:pPr>
              <w:tabs>
                <w:tab w:val="left" w:pos="948"/>
                <w:tab w:val="left" w:pos="1128"/>
              </w:tabs>
              <w:spacing w:line="360" w:lineRule="auto"/>
              <w:ind w:firstLine="420" w:firstLineChars="150"/>
              <w:rPr>
                <w:rFonts w:ascii="宋体" w:hAnsi="宋体"/>
                <w:b w:val="0"/>
                <w:bCs/>
                <w:sz w:val="28"/>
                <w:szCs w:val="28"/>
              </w:rPr>
            </w:pPr>
            <w:r>
              <w:rPr>
                <w:rFonts w:hint="eastAsia" w:ascii="宋体" w:hAnsi="宋体"/>
                <w:b w:val="0"/>
                <w:bCs/>
                <w:sz w:val="28"/>
                <w:szCs w:val="28"/>
              </w:rPr>
              <w:t>根据招标文件</w:t>
            </w:r>
            <w:r>
              <w:rPr>
                <w:rFonts w:ascii="宋体" w:hAnsi="宋体"/>
                <w:b w:val="0"/>
                <w:bCs/>
                <w:sz w:val="28"/>
                <w:szCs w:val="28"/>
              </w:rPr>
              <w:t>要求，</w:t>
            </w:r>
            <w:r>
              <w:rPr>
                <w:rFonts w:hint="eastAsia" w:ascii="宋体" w:hAnsi="宋体"/>
                <w:b w:val="0"/>
                <w:bCs/>
                <w:sz w:val="28"/>
                <w:szCs w:val="28"/>
              </w:rPr>
              <w:t>投标</w:t>
            </w:r>
            <w:r>
              <w:rPr>
                <w:rFonts w:hint="eastAsia" w:ascii="宋体" w:hAnsi="宋体"/>
                <w:b w:val="0"/>
                <w:bCs/>
                <w:sz w:val="28"/>
                <w:szCs w:val="28"/>
                <w:lang w:val="en-US" w:eastAsia="zh-CN"/>
              </w:rPr>
              <w:t>方</w:t>
            </w:r>
            <w:r>
              <w:rPr>
                <w:rFonts w:hint="eastAsia" w:ascii="宋体" w:hAnsi="宋体"/>
                <w:b w:val="0"/>
                <w:bCs/>
                <w:sz w:val="28"/>
                <w:szCs w:val="28"/>
              </w:rPr>
              <w:t>自报，由评委根据各投标</w:t>
            </w:r>
            <w:r>
              <w:rPr>
                <w:rFonts w:hint="eastAsia" w:ascii="宋体" w:hAnsi="宋体"/>
                <w:b w:val="0"/>
                <w:bCs/>
                <w:sz w:val="28"/>
                <w:szCs w:val="28"/>
                <w:lang w:val="en-US" w:eastAsia="zh-CN"/>
              </w:rPr>
              <w:t>方</w:t>
            </w:r>
            <w:r>
              <w:rPr>
                <w:rFonts w:hint="eastAsia" w:ascii="宋体" w:hAnsi="宋体"/>
                <w:b w:val="0"/>
                <w:bCs/>
                <w:sz w:val="28"/>
                <w:szCs w:val="28"/>
              </w:rPr>
              <w:t>差异酌情评分。</w:t>
            </w:r>
          </w:p>
        </w:tc>
        <w:tc>
          <w:tcPr>
            <w:tcW w:w="836" w:type="dxa"/>
            <w:tcBorders>
              <w:tl2br w:val="nil"/>
              <w:tr2bl w:val="nil"/>
            </w:tcBorders>
            <w:vAlign w:val="center"/>
          </w:tcPr>
          <w:p w14:paraId="366FC6D6">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1</w:t>
            </w:r>
          </w:p>
        </w:tc>
      </w:tr>
      <w:tr w14:paraId="5E6DDFF1">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Pr>
        <w:tc>
          <w:tcPr>
            <w:tcW w:w="1238" w:type="dxa"/>
            <w:tcBorders>
              <w:tl2br w:val="nil"/>
              <w:tr2bl w:val="nil"/>
            </w:tcBorders>
            <w:vAlign w:val="center"/>
          </w:tcPr>
          <w:p w14:paraId="56EF23D3">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技术部分</w:t>
            </w:r>
          </w:p>
          <w:p w14:paraId="66C81C35">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（40分）</w:t>
            </w:r>
          </w:p>
        </w:tc>
        <w:tc>
          <w:tcPr>
            <w:tcW w:w="1281" w:type="dxa"/>
            <w:tcBorders>
              <w:tl2br w:val="nil"/>
              <w:tr2bl w:val="nil"/>
            </w:tcBorders>
            <w:vAlign w:val="center"/>
          </w:tcPr>
          <w:p w14:paraId="79C2E57D">
            <w:pPr>
              <w:adjustRightInd w:val="0"/>
              <w:snapToGrid w:val="0"/>
              <w:spacing w:line="360" w:lineRule="auto"/>
              <w:jc w:val="center"/>
              <w:rPr>
                <w:rFonts w:ascii="宋体" w:hAnsi="宋体" w:cs="宋体"/>
                <w:b w:val="0"/>
                <w:bCs/>
                <w:kern w:val="0"/>
                <w:sz w:val="28"/>
                <w:szCs w:val="28"/>
              </w:rPr>
            </w:pPr>
            <w:r>
              <w:rPr>
                <w:rFonts w:hint="eastAsia" w:ascii="宋体" w:hAnsi="宋体" w:cs="宋体"/>
                <w:b w:val="0"/>
                <w:bCs/>
                <w:kern w:val="0"/>
                <w:sz w:val="28"/>
                <w:szCs w:val="28"/>
              </w:rPr>
              <w:t>技术指标</w:t>
            </w:r>
          </w:p>
          <w:p w14:paraId="00685376">
            <w:pPr>
              <w:adjustRightInd w:val="0"/>
              <w:snapToGrid w:val="0"/>
              <w:spacing w:line="360" w:lineRule="auto"/>
              <w:jc w:val="center"/>
              <w:rPr>
                <w:rFonts w:ascii="宋体" w:hAnsi="宋体" w:cs="宋体"/>
                <w:b w:val="0"/>
                <w:bCs/>
                <w:kern w:val="0"/>
                <w:sz w:val="28"/>
                <w:szCs w:val="28"/>
              </w:rPr>
            </w:pPr>
            <w:r>
              <w:rPr>
                <w:rFonts w:hint="eastAsia" w:ascii="宋体" w:hAnsi="宋体" w:cs="宋体"/>
                <w:b w:val="0"/>
                <w:bCs/>
                <w:kern w:val="0"/>
                <w:sz w:val="28"/>
                <w:szCs w:val="28"/>
              </w:rPr>
              <w:t>响应情况</w:t>
            </w:r>
          </w:p>
        </w:tc>
        <w:tc>
          <w:tcPr>
            <w:tcW w:w="5121" w:type="dxa"/>
            <w:tcBorders>
              <w:tl2br w:val="nil"/>
              <w:tr2bl w:val="nil"/>
            </w:tcBorders>
            <w:vAlign w:val="center"/>
          </w:tcPr>
          <w:p w14:paraId="50C329D2">
            <w:pPr>
              <w:tabs>
                <w:tab w:val="left" w:pos="948"/>
                <w:tab w:val="left" w:pos="1128"/>
              </w:tabs>
              <w:spacing w:line="360" w:lineRule="auto"/>
              <w:ind w:firstLine="560" w:firstLineChars="200"/>
              <w:jc w:val="left"/>
              <w:rPr>
                <w:rFonts w:ascii="宋体" w:hAnsi="宋体" w:cs="宋体"/>
                <w:b w:val="0"/>
                <w:bCs/>
                <w:sz w:val="28"/>
                <w:szCs w:val="28"/>
              </w:rPr>
            </w:pPr>
            <w:r>
              <w:rPr>
                <w:rFonts w:hint="eastAsia" w:ascii="宋体" w:hAnsi="宋体" w:cs="宋体"/>
                <w:b w:val="0"/>
                <w:bCs/>
                <w:sz w:val="28"/>
                <w:szCs w:val="28"/>
              </w:rPr>
              <w:t>技术特点、性能指标：招标文件技术要求中标注★的技术指标每一条不满足扣2分，非标注★的技术指标每一条不满足扣1分，扣完为止。</w:t>
            </w:r>
          </w:p>
        </w:tc>
        <w:tc>
          <w:tcPr>
            <w:tcW w:w="836" w:type="dxa"/>
            <w:tcBorders>
              <w:tl2br w:val="nil"/>
              <w:tr2bl w:val="nil"/>
            </w:tcBorders>
            <w:vAlign w:val="center"/>
          </w:tcPr>
          <w:p w14:paraId="615A45F6">
            <w:pPr>
              <w:adjustRightInd w:val="0"/>
              <w:snapToGrid w:val="0"/>
              <w:spacing w:line="360" w:lineRule="auto"/>
              <w:jc w:val="center"/>
              <w:rPr>
                <w:rFonts w:hint="default" w:ascii="宋体" w:hAnsi="宋体" w:eastAsia="宋体"/>
                <w:b w:val="0"/>
                <w:bCs/>
                <w:sz w:val="28"/>
                <w:szCs w:val="28"/>
                <w:lang w:val="en-US" w:eastAsia="zh-CN"/>
              </w:rPr>
            </w:pPr>
            <w:r>
              <w:rPr>
                <w:rFonts w:hint="eastAsia" w:ascii="宋体" w:hAnsi="宋体"/>
                <w:b w:val="0"/>
                <w:bCs/>
                <w:sz w:val="28"/>
                <w:szCs w:val="28"/>
                <w:lang w:val="en-US" w:eastAsia="zh-CN"/>
              </w:rPr>
              <w:t>40</w:t>
            </w:r>
          </w:p>
        </w:tc>
      </w:tr>
      <w:tr w14:paraId="68680225">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948" w:hRule="atLeast"/>
        </w:trPr>
        <w:tc>
          <w:tcPr>
            <w:tcW w:w="1238" w:type="dxa"/>
            <w:vMerge w:val="restart"/>
            <w:tcBorders>
              <w:tl2br w:val="nil"/>
              <w:tr2bl w:val="nil"/>
            </w:tcBorders>
            <w:vAlign w:val="center"/>
          </w:tcPr>
          <w:p w14:paraId="3876F7CD">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售后服务</w:t>
            </w:r>
          </w:p>
          <w:p w14:paraId="773A950F">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（5分）</w:t>
            </w:r>
          </w:p>
        </w:tc>
        <w:tc>
          <w:tcPr>
            <w:tcW w:w="1281" w:type="dxa"/>
            <w:tcBorders>
              <w:tl2br w:val="nil"/>
              <w:tr2bl w:val="nil"/>
            </w:tcBorders>
            <w:vAlign w:val="center"/>
          </w:tcPr>
          <w:p w14:paraId="0AB3F826">
            <w:pPr>
              <w:adjustRightInd w:val="0"/>
              <w:snapToGrid w:val="0"/>
              <w:jc w:val="center"/>
              <w:rPr>
                <w:rFonts w:ascii="宋体" w:hAnsi="宋体"/>
                <w:b w:val="0"/>
                <w:bCs/>
                <w:sz w:val="28"/>
                <w:szCs w:val="28"/>
              </w:rPr>
            </w:pPr>
            <w:r>
              <w:rPr>
                <w:rFonts w:hint="eastAsia" w:ascii="宋体" w:hAnsi="宋体"/>
                <w:b w:val="0"/>
                <w:bCs/>
                <w:sz w:val="28"/>
                <w:szCs w:val="28"/>
              </w:rPr>
              <w:t>质保期内服务承诺</w:t>
            </w:r>
          </w:p>
        </w:tc>
        <w:tc>
          <w:tcPr>
            <w:tcW w:w="5121" w:type="dxa"/>
            <w:tcBorders>
              <w:tl2br w:val="nil"/>
              <w:tr2bl w:val="nil"/>
            </w:tcBorders>
            <w:vAlign w:val="center"/>
          </w:tcPr>
          <w:p w14:paraId="722B9705">
            <w:pPr>
              <w:spacing w:line="360" w:lineRule="auto"/>
              <w:rPr>
                <w:rFonts w:ascii="宋体" w:hAnsi="宋体"/>
                <w:b w:val="0"/>
                <w:bCs/>
                <w:sz w:val="28"/>
                <w:szCs w:val="28"/>
              </w:rPr>
            </w:pPr>
            <w:r>
              <w:rPr>
                <w:rFonts w:hint="eastAsia" w:ascii="宋体" w:hAnsi="宋体"/>
                <w:b w:val="0"/>
                <w:bCs/>
                <w:sz w:val="28"/>
                <w:szCs w:val="28"/>
              </w:rPr>
              <w:t>由评委根据各投标</w:t>
            </w:r>
            <w:r>
              <w:rPr>
                <w:rFonts w:hint="eastAsia" w:ascii="宋体" w:hAnsi="宋体"/>
                <w:b w:val="0"/>
                <w:bCs/>
                <w:sz w:val="28"/>
                <w:szCs w:val="28"/>
                <w:lang w:val="en-US" w:eastAsia="zh-CN"/>
              </w:rPr>
              <w:t>方</w:t>
            </w:r>
            <w:r>
              <w:rPr>
                <w:rFonts w:hint="eastAsia" w:ascii="宋体" w:hAnsi="宋体"/>
                <w:b w:val="0"/>
                <w:bCs/>
                <w:sz w:val="28"/>
                <w:szCs w:val="28"/>
              </w:rPr>
              <w:t>差异酌情评分。（细化量化）</w:t>
            </w:r>
          </w:p>
        </w:tc>
        <w:tc>
          <w:tcPr>
            <w:tcW w:w="836" w:type="dxa"/>
            <w:tcBorders>
              <w:tl2br w:val="nil"/>
              <w:tr2bl w:val="nil"/>
            </w:tcBorders>
            <w:vAlign w:val="center"/>
          </w:tcPr>
          <w:p w14:paraId="645F0A64">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2</w:t>
            </w:r>
          </w:p>
        </w:tc>
      </w:tr>
      <w:tr w14:paraId="220D166E">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Height w:val="937" w:hRule="atLeast"/>
        </w:trPr>
        <w:tc>
          <w:tcPr>
            <w:tcW w:w="1238" w:type="dxa"/>
            <w:vMerge w:val="continue"/>
            <w:tcBorders>
              <w:tl2br w:val="nil"/>
              <w:tr2bl w:val="nil"/>
            </w:tcBorders>
            <w:vAlign w:val="center"/>
          </w:tcPr>
          <w:p w14:paraId="3CC8AB1A">
            <w:pPr>
              <w:adjustRightInd w:val="0"/>
              <w:snapToGrid w:val="0"/>
              <w:spacing w:line="360" w:lineRule="auto"/>
              <w:jc w:val="center"/>
              <w:rPr>
                <w:rFonts w:ascii="宋体" w:hAnsi="宋体"/>
                <w:b w:val="0"/>
                <w:bCs/>
                <w:sz w:val="28"/>
                <w:szCs w:val="28"/>
              </w:rPr>
            </w:pPr>
          </w:p>
        </w:tc>
        <w:tc>
          <w:tcPr>
            <w:tcW w:w="1281" w:type="dxa"/>
            <w:tcBorders>
              <w:tl2br w:val="nil"/>
              <w:tr2bl w:val="nil"/>
            </w:tcBorders>
            <w:vAlign w:val="center"/>
          </w:tcPr>
          <w:p w14:paraId="3E246AA3">
            <w:pPr>
              <w:adjustRightInd w:val="0"/>
              <w:snapToGrid w:val="0"/>
              <w:jc w:val="center"/>
              <w:rPr>
                <w:rFonts w:ascii="宋体" w:hAnsi="宋体"/>
                <w:b w:val="0"/>
                <w:bCs/>
                <w:sz w:val="28"/>
                <w:szCs w:val="28"/>
              </w:rPr>
            </w:pPr>
            <w:r>
              <w:rPr>
                <w:rFonts w:hint="eastAsia" w:ascii="宋体" w:hAnsi="宋体"/>
                <w:b w:val="0"/>
                <w:bCs/>
                <w:sz w:val="28"/>
                <w:szCs w:val="28"/>
              </w:rPr>
              <w:t>人员技术培训</w:t>
            </w:r>
          </w:p>
        </w:tc>
        <w:tc>
          <w:tcPr>
            <w:tcW w:w="5121" w:type="dxa"/>
            <w:tcBorders>
              <w:tl2br w:val="nil"/>
              <w:tr2bl w:val="nil"/>
            </w:tcBorders>
            <w:vAlign w:val="center"/>
          </w:tcPr>
          <w:p w14:paraId="10D09193">
            <w:pPr>
              <w:spacing w:line="360" w:lineRule="auto"/>
              <w:rPr>
                <w:rFonts w:ascii="宋体" w:hAnsi="宋体"/>
                <w:b w:val="0"/>
                <w:bCs/>
                <w:sz w:val="28"/>
                <w:szCs w:val="28"/>
              </w:rPr>
            </w:pPr>
            <w:r>
              <w:rPr>
                <w:rFonts w:hint="eastAsia" w:ascii="宋体" w:hAnsi="宋体"/>
                <w:b w:val="0"/>
                <w:bCs/>
                <w:sz w:val="28"/>
                <w:szCs w:val="28"/>
              </w:rPr>
              <w:t>由评委根据各投标</w:t>
            </w:r>
            <w:r>
              <w:rPr>
                <w:rFonts w:hint="eastAsia" w:ascii="宋体" w:hAnsi="宋体"/>
                <w:b w:val="0"/>
                <w:bCs/>
                <w:sz w:val="28"/>
                <w:szCs w:val="28"/>
                <w:lang w:val="en-US" w:eastAsia="zh-CN"/>
              </w:rPr>
              <w:t>方</w:t>
            </w:r>
            <w:r>
              <w:rPr>
                <w:rFonts w:hint="eastAsia" w:ascii="宋体" w:hAnsi="宋体"/>
                <w:b w:val="0"/>
                <w:bCs/>
                <w:sz w:val="28"/>
                <w:szCs w:val="28"/>
              </w:rPr>
              <w:t>差异酌情评分。（细化量化）</w:t>
            </w:r>
          </w:p>
        </w:tc>
        <w:tc>
          <w:tcPr>
            <w:tcW w:w="836" w:type="dxa"/>
            <w:tcBorders>
              <w:tl2br w:val="nil"/>
              <w:tr2bl w:val="nil"/>
            </w:tcBorders>
            <w:vAlign w:val="center"/>
          </w:tcPr>
          <w:p w14:paraId="6910AD3E">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2</w:t>
            </w:r>
          </w:p>
        </w:tc>
      </w:tr>
      <w:tr w14:paraId="04B07500">
        <w:tblPrEx>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CellMar>
            <w:top w:w="0" w:type="dxa"/>
            <w:left w:w="108" w:type="dxa"/>
            <w:bottom w:w="0" w:type="dxa"/>
            <w:right w:w="108" w:type="dxa"/>
          </w:tblCellMar>
        </w:tblPrEx>
        <w:trPr>
          <w:cantSplit/>
        </w:trPr>
        <w:tc>
          <w:tcPr>
            <w:tcW w:w="1238" w:type="dxa"/>
            <w:vMerge w:val="continue"/>
            <w:tcBorders>
              <w:tl2br w:val="nil"/>
              <w:tr2bl w:val="nil"/>
            </w:tcBorders>
            <w:vAlign w:val="center"/>
          </w:tcPr>
          <w:p w14:paraId="14AA89E3">
            <w:pPr>
              <w:adjustRightInd w:val="0"/>
              <w:snapToGrid w:val="0"/>
              <w:spacing w:line="360" w:lineRule="auto"/>
              <w:jc w:val="center"/>
              <w:rPr>
                <w:rFonts w:ascii="宋体" w:hAnsi="宋体"/>
                <w:b w:val="0"/>
                <w:bCs/>
                <w:sz w:val="28"/>
                <w:szCs w:val="28"/>
              </w:rPr>
            </w:pPr>
          </w:p>
        </w:tc>
        <w:tc>
          <w:tcPr>
            <w:tcW w:w="1281" w:type="dxa"/>
            <w:tcBorders>
              <w:tl2br w:val="nil"/>
              <w:tr2bl w:val="nil"/>
            </w:tcBorders>
            <w:vAlign w:val="center"/>
          </w:tcPr>
          <w:p w14:paraId="5F2F68FC">
            <w:pPr>
              <w:adjustRightInd w:val="0"/>
              <w:snapToGrid w:val="0"/>
              <w:jc w:val="center"/>
              <w:rPr>
                <w:rFonts w:ascii="宋体" w:hAnsi="宋体"/>
                <w:b w:val="0"/>
                <w:bCs/>
                <w:sz w:val="28"/>
                <w:szCs w:val="28"/>
              </w:rPr>
            </w:pPr>
            <w:r>
              <w:rPr>
                <w:rFonts w:hint="eastAsia" w:ascii="宋体" w:hAnsi="宋体"/>
                <w:b w:val="0"/>
                <w:bCs/>
                <w:sz w:val="28"/>
                <w:szCs w:val="28"/>
              </w:rPr>
              <w:t>质保期外承诺</w:t>
            </w:r>
          </w:p>
        </w:tc>
        <w:tc>
          <w:tcPr>
            <w:tcW w:w="5121" w:type="dxa"/>
            <w:tcBorders>
              <w:tl2br w:val="nil"/>
              <w:tr2bl w:val="nil"/>
            </w:tcBorders>
            <w:vAlign w:val="center"/>
          </w:tcPr>
          <w:p w14:paraId="2D27F45B">
            <w:pPr>
              <w:spacing w:line="360" w:lineRule="auto"/>
              <w:ind w:firstLine="560" w:firstLineChars="200"/>
              <w:rPr>
                <w:rFonts w:ascii="宋体" w:hAnsi="宋体"/>
                <w:b w:val="0"/>
                <w:bCs/>
                <w:sz w:val="28"/>
                <w:szCs w:val="28"/>
              </w:rPr>
            </w:pPr>
            <w:r>
              <w:rPr>
                <w:rFonts w:hint="eastAsia" w:ascii="宋体" w:hAnsi="宋体"/>
                <w:b w:val="0"/>
                <w:bCs/>
                <w:sz w:val="28"/>
                <w:szCs w:val="28"/>
              </w:rPr>
              <w:t>在满足质保期的要求上每增加1年加0.5分,最多加1分。</w:t>
            </w:r>
          </w:p>
        </w:tc>
        <w:tc>
          <w:tcPr>
            <w:tcW w:w="836" w:type="dxa"/>
            <w:tcBorders>
              <w:tl2br w:val="nil"/>
              <w:tr2bl w:val="nil"/>
            </w:tcBorders>
            <w:vAlign w:val="center"/>
          </w:tcPr>
          <w:p w14:paraId="358BBED7">
            <w:pPr>
              <w:adjustRightInd w:val="0"/>
              <w:snapToGrid w:val="0"/>
              <w:spacing w:line="360" w:lineRule="auto"/>
              <w:jc w:val="center"/>
              <w:rPr>
                <w:rFonts w:ascii="宋体" w:hAnsi="宋体"/>
                <w:b w:val="0"/>
                <w:bCs/>
                <w:sz w:val="28"/>
                <w:szCs w:val="28"/>
              </w:rPr>
            </w:pPr>
            <w:r>
              <w:rPr>
                <w:rFonts w:hint="eastAsia" w:ascii="宋体" w:hAnsi="宋体"/>
                <w:b w:val="0"/>
                <w:bCs/>
                <w:sz w:val="28"/>
                <w:szCs w:val="28"/>
              </w:rPr>
              <w:t>1</w:t>
            </w:r>
          </w:p>
        </w:tc>
      </w:tr>
    </w:tbl>
    <w:p w14:paraId="47F0F4C2">
      <w:pPr>
        <w:numPr>
          <w:ilvl w:val="0"/>
          <w:numId w:val="0"/>
        </w:numPr>
        <w:rPr>
          <w:rFonts w:hint="eastAsia" w:ascii="宋体" w:hAnsi="宋体" w:eastAsia="宋体" w:cs="宋体"/>
          <w:sz w:val="28"/>
          <w:szCs w:val="28"/>
          <w:lang w:eastAsia="zh-CN"/>
        </w:rPr>
      </w:pPr>
    </w:p>
    <w:p w14:paraId="5A46316B">
      <w:pPr>
        <w:rPr>
          <w:b w:val="0"/>
          <w:bCs/>
          <w:sz w:val="28"/>
          <w:szCs w:val="28"/>
        </w:rPr>
      </w:pPr>
    </w:p>
    <w:p w14:paraId="73F9A2A6">
      <w:pPr>
        <w:pStyle w:val="2"/>
        <w:rPr>
          <w:b w:val="0"/>
          <w:bCs/>
          <w:sz w:val="28"/>
          <w:szCs w:val="28"/>
        </w:rPr>
      </w:pPr>
    </w:p>
    <w:p w14:paraId="7EA92723">
      <w:pPr>
        <w:pStyle w:val="3"/>
        <w:rPr>
          <w:b w:val="0"/>
          <w:bCs/>
          <w:sz w:val="28"/>
          <w:szCs w:val="28"/>
        </w:rPr>
      </w:pPr>
    </w:p>
    <w:p w14:paraId="43379E65">
      <w:pPr>
        <w:pStyle w:val="3"/>
        <w:rPr>
          <w:b w:val="0"/>
          <w:bCs/>
          <w:sz w:val="28"/>
          <w:szCs w:val="28"/>
        </w:rPr>
      </w:pPr>
    </w:p>
    <w:p w14:paraId="2D5C4714">
      <w:pPr>
        <w:pStyle w:val="3"/>
        <w:rPr>
          <w:b w:val="0"/>
          <w:bCs/>
          <w:sz w:val="28"/>
          <w:szCs w:val="28"/>
        </w:rPr>
      </w:pPr>
    </w:p>
    <w:p w14:paraId="6593014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8173E"/>
    <w:multiLevelType w:val="singleLevel"/>
    <w:tmpl w:val="8A38173E"/>
    <w:lvl w:ilvl="0" w:tentative="0">
      <w:start w:val="1"/>
      <w:numFmt w:val="chineseCounting"/>
      <w:suff w:val="nothing"/>
      <w:lvlText w:val="（%1）"/>
      <w:lvlJc w:val="left"/>
      <w:rPr>
        <w:rFonts w:hint="eastAsia"/>
      </w:rPr>
    </w:lvl>
  </w:abstractNum>
  <w:abstractNum w:abstractNumId="1">
    <w:nsid w:val="BDF132A3"/>
    <w:multiLevelType w:val="singleLevel"/>
    <w:tmpl w:val="BDF132A3"/>
    <w:lvl w:ilvl="0" w:tentative="0">
      <w:start w:val="1"/>
      <w:numFmt w:val="chineseCounting"/>
      <w:suff w:val="nothing"/>
      <w:lvlText w:val="（%1）"/>
      <w:lvlJc w:val="left"/>
      <w:rPr>
        <w:rFonts w:hint="eastAsia"/>
      </w:rPr>
    </w:lvl>
  </w:abstractNum>
  <w:abstractNum w:abstractNumId="2">
    <w:nsid w:val="D6FD12D1"/>
    <w:multiLevelType w:val="singleLevel"/>
    <w:tmpl w:val="D6FD12D1"/>
    <w:lvl w:ilvl="0" w:tentative="0">
      <w:start w:val="1"/>
      <w:numFmt w:val="decimal"/>
      <w:suff w:val="nothing"/>
      <w:lvlText w:val="%1、"/>
      <w:lvlJc w:val="left"/>
      <w:pPr>
        <w:ind w:left="140" w:leftChars="0" w:firstLine="0" w:firstLineChars="0"/>
      </w:pPr>
    </w:lvl>
  </w:abstractNum>
  <w:abstractNum w:abstractNumId="3">
    <w:nsid w:val="D921E876"/>
    <w:multiLevelType w:val="singleLevel"/>
    <w:tmpl w:val="D921E876"/>
    <w:lvl w:ilvl="0" w:tentative="0">
      <w:start w:val="1"/>
      <w:numFmt w:val="decimal"/>
      <w:suff w:val="nothing"/>
      <w:lvlText w:val="（%1）"/>
      <w:lvlJc w:val="left"/>
    </w:lvl>
  </w:abstractNum>
  <w:abstractNum w:abstractNumId="4">
    <w:nsid w:val="22EEB10A"/>
    <w:multiLevelType w:val="singleLevel"/>
    <w:tmpl w:val="22EEB10A"/>
    <w:lvl w:ilvl="0" w:tentative="0">
      <w:start w:val="1"/>
      <w:numFmt w:val="chineseCounting"/>
      <w:suff w:val="nothing"/>
      <w:lvlText w:val="%1、"/>
      <w:lvlJc w:val="left"/>
      <w:rPr>
        <w:rFonts w:hint="eastAsia"/>
      </w:rPr>
    </w:lvl>
  </w:abstractNum>
  <w:abstractNum w:abstractNumId="5">
    <w:nsid w:val="572E83A2"/>
    <w:multiLevelType w:val="singleLevel"/>
    <w:tmpl w:val="572E83A2"/>
    <w:lvl w:ilvl="0" w:tentative="0">
      <w:start w:val="1"/>
      <w:numFmt w:val="chineseCounting"/>
      <w:suff w:val="nothing"/>
      <w:lvlText w:val="%1、"/>
      <w:lvlJc w:val="left"/>
      <w:rPr>
        <w:rFonts w:hint="eastAsia"/>
      </w:rPr>
    </w:lvl>
  </w:abstractNum>
  <w:abstractNum w:abstractNumId="6">
    <w:nsid w:val="686C4EC2"/>
    <w:multiLevelType w:val="singleLevel"/>
    <w:tmpl w:val="686C4EC2"/>
    <w:lvl w:ilvl="0" w:tentative="0">
      <w:start w:val="1"/>
      <w:numFmt w:val="chineseCounting"/>
      <w:suff w:val="nothing"/>
      <w:lvlText w:val="（%1）"/>
      <w:lvlJc w:val="left"/>
      <w:rPr>
        <w:rFonts w:hint="eastAsia"/>
      </w:rPr>
    </w:lvl>
  </w:abstractNum>
  <w:num w:numId="1">
    <w:abstractNumId w:val="4"/>
  </w:num>
  <w:num w:numId="2">
    <w:abstractNumId w:val="1"/>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7B3A76"/>
    <w:rsid w:val="01A9739C"/>
    <w:rsid w:val="0D630C1D"/>
    <w:rsid w:val="11CB2D08"/>
    <w:rsid w:val="145A2EDB"/>
    <w:rsid w:val="197B3A76"/>
    <w:rsid w:val="1C725732"/>
    <w:rsid w:val="21FF50C2"/>
    <w:rsid w:val="27315D1D"/>
    <w:rsid w:val="32C75788"/>
    <w:rsid w:val="36154A5C"/>
    <w:rsid w:val="41D852BC"/>
    <w:rsid w:val="43E77A38"/>
    <w:rsid w:val="52F7756C"/>
    <w:rsid w:val="56A417B8"/>
    <w:rsid w:val="5F9C5723"/>
    <w:rsid w:val="60D07165"/>
    <w:rsid w:val="61F17FC0"/>
    <w:rsid w:val="636E73D6"/>
    <w:rsid w:val="67542665"/>
    <w:rsid w:val="6C98257D"/>
    <w:rsid w:val="6EE20AF3"/>
    <w:rsid w:val="71641E18"/>
    <w:rsid w:val="75114065"/>
    <w:rsid w:val="79B34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ascii="Times New Roman"/>
      <w:sz w:val="28"/>
      <w:szCs w:val="30"/>
    </w:rPr>
  </w:style>
  <w:style w:type="paragraph" w:customStyle="1" w:styleId="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无间隔1"/>
    <w:basedOn w:val="1"/>
    <w:autoRedefine/>
    <w:qFormat/>
    <w:uiPriority w:val="1"/>
    <w:pPr>
      <w:spacing w:line="400" w:lineRule="exact"/>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3225</Words>
  <Characters>3308</Characters>
  <Lines>0</Lines>
  <Paragraphs>0</Paragraphs>
  <TotalTime>11</TotalTime>
  <ScaleCrop>false</ScaleCrop>
  <LinksUpToDate>false</LinksUpToDate>
  <CharactersWithSpaces>3309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2025-02-13T01:44:00Z</dcterms:created>
  <dc:creator>苏莉娜</dc:creator>
  <cp:lastModifiedBy>梁涛</cp:lastModifiedBy>
  <cp:lastPrinted>2025-03-27T08:39:00Z</cp:lastPrinted>
  <dcterms:modified xsi:type="dcterms:W3CDTF">2025-05-26T01:03:16Z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4C3F596D7A8C48F7BAA6AC8932CA9BB2_13</vt:lpwstr>
  </property>
  <property fmtid="{D5CDD505-2E9C-101B-9397-08002B2CF9AE}" pid="4" name="KSOTemplateDocerSaveRecord">
    <vt:lpwstr>eyJoZGlkIjoiYmQ3NjFiZDMxZjc4NDVkNGZiMjM0Yzg0ODU2ZWQwZjgiLCJ1c2VySWQiOiI0MTQwNDYxMTEifQ==</vt:lpwstr>
  </property>
</Properties>
</file>